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B387C" w14:textId="77777777" w:rsidR="00A32788" w:rsidRDefault="00000000">
      <w:pPr>
        <w:spacing w:after="50"/>
        <w:jc w:val="center"/>
      </w:pPr>
      <w:r>
        <w:rPr>
          <w:b/>
          <w:bCs/>
          <w:color w:val="7A1F2B"/>
          <w:sz w:val="36"/>
          <w:szCs w:val="36"/>
        </w:rPr>
        <w:t>The Case Against the Truth-Claims of the LDS Church</w:t>
      </w:r>
    </w:p>
    <w:p w14:paraId="4442C683" w14:textId="77777777" w:rsidR="00A32788" w:rsidRDefault="00000000">
      <w:pPr>
        <w:spacing w:after="30"/>
        <w:jc w:val="center"/>
      </w:pPr>
      <w:r>
        <w:rPr>
          <w:i/>
          <w:iCs/>
          <w:color w:val="595959"/>
        </w:rPr>
        <w:t>“If we have the truth, it cannot be harmed by investigation. If we have not the truth, it ought to be harmed.”</w:t>
      </w:r>
    </w:p>
    <w:p w14:paraId="50C664C8" w14:textId="77777777" w:rsidR="00A32788" w:rsidRDefault="00000000">
      <w:pPr>
        <w:spacing w:after="220"/>
        <w:jc w:val="center"/>
      </w:pPr>
      <w:r>
        <w:rPr>
          <w:color w:val="595959"/>
          <w:sz w:val="18"/>
          <w:szCs w:val="18"/>
        </w:rPr>
        <w:t>— President J. Reuben Clark</w:t>
      </w:r>
    </w:p>
    <w:p w14:paraId="66153AA6" w14:textId="77777777" w:rsidR="00A32788" w:rsidRDefault="00000000">
      <w:pPr>
        <w:pStyle w:val="Heading2"/>
      </w:pPr>
      <w:r>
        <w:t>Central thesis</w:t>
      </w:r>
    </w:p>
    <w:p w14:paraId="5777E505" w14:textId="77777777" w:rsidR="00A32788" w:rsidRDefault="00000000">
      <w:pPr>
        <w:spacing w:after="120"/>
      </w:pPr>
      <w:r>
        <w:t>The Church of Jesus Christ of Latter-day Saints stands on specific, testable claims: that the Book of Abraham is a genuine translation of Egyptian papyri, that Joseph Smith was a true prophet who restored Christ’s church, that the Book of Mormon is a true record of ancient peoples in the Americas based on a translation of ancient records by Joseph Smith, and that the Church is led by prophets who will not lead it astray. This document argues that each of these claims is contradicted by the evidence — and that, taken together, the contradictions are fatal to the Church’s claim to divine authority.</w:t>
      </w:r>
    </w:p>
    <w:p w14:paraId="2D99CE2E" w14:textId="77777777" w:rsidR="00A32788" w:rsidRDefault="00000000">
      <w:pPr>
        <w:spacing w:after="120"/>
      </w:pPr>
      <w:r>
        <w:t>The argument is anchored, wherever possible, in the Church’s own materials — the Gospel Topics essays (approved by the First Presidency and the Quorum of the Twelve Apostles), the Joseph Smith Papers, the Church Newsroom, and the canonized scriptures — because a believer cannot dismiss the Church’s own official position as anti-Mormon invention. Where a point needs support beyond what the Church concedes, or is strengthened by independent confirmation, reputable non-LDS scholarship is added and labeled as outside support. Each section states a claim, substantiates it, and answers the strongest counterarguments.</w:t>
      </w:r>
    </w:p>
    <w:p w14:paraId="00877AA1" w14:textId="77777777" w:rsidR="00A32788" w:rsidRDefault="00000000">
      <w:pPr>
        <w:spacing w:after="30"/>
      </w:pPr>
      <w:r>
        <w:t>Primary LDS source for much of what follows — the official Gospel Topics Essays:</w:t>
      </w:r>
    </w:p>
    <w:p w14:paraId="687823A4" w14:textId="77777777" w:rsidR="00A32788" w:rsidRDefault="00A32788">
      <w:pPr>
        <w:spacing w:after="120"/>
      </w:pPr>
      <w:hyperlink r:id="rId5">
        <w:r>
          <w:rPr>
            <w:color w:val="0563C1"/>
            <w:u w:val="single"/>
          </w:rPr>
          <w:t>churchofjesuschrist.org › Gospel Topics Essays</w:t>
        </w:r>
      </w:hyperlink>
    </w:p>
    <w:p w14:paraId="63FC2A69" w14:textId="77777777" w:rsidR="00A32788" w:rsidRDefault="00000000">
      <w:r>
        <w:br w:type="page"/>
      </w:r>
    </w:p>
    <w:p w14:paraId="5BF3EFA9" w14:textId="77777777" w:rsidR="00A32788" w:rsidRDefault="00000000">
      <w:pPr>
        <w:pStyle w:val="Heading1"/>
      </w:pPr>
      <w:r>
        <w:lastRenderedPageBreak/>
        <w:t>1. The Book of Abraham is not an authentic translation</w:t>
      </w:r>
    </w:p>
    <w:p w14:paraId="383E075A" w14:textId="77777777" w:rsidR="00A32788" w:rsidRDefault="00000000">
      <w:pPr>
        <w:spacing w:before="20" w:after="90"/>
      </w:pPr>
      <w:r>
        <w:rPr>
          <w:b/>
          <w:bCs/>
          <w:color w:val="7A1F2B"/>
        </w:rPr>
        <w:t xml:space="preserve">Claim.  </w:t>
      </w:r>
      <w:r>
        <w:t>The Book of Abraham is not a translation of any ancient record. Joseph Smith presented it as a literal translation of Egyptian papyri he owned; those papyri survive and are ordinary funerary texts that never mention Abraham. Because it is canonized scripture that Joseph produced as a direct translation, its falsity is direct evidence that he did not possess a divine gift of translation — which collapses the prophetic authority the entire Church rests on.</w:t>
      </w:r>
    </w:p>
    <w:p w14:paraId="3EACE32F" w14:textId="77777777" w:rsidR="00A32788" w:rsidRDefault="00000000">
      <w:pPr>
        <w:spacing w:after="120"/>
      </w:pPr>
      <w:r>
        <w:t>The papyri were rediscovered in 1967 and given to the Church, which published photographs. Egyptologists — Latter-day Saint and not — identify them as standard funerary texts (a Book of Breathings and a Book of the Dead) from roughly the third to first centuries BCE, with no reference to Abraham. The Church concedes this in its official essay.</w:t>
      </w:r>
    </w:p>
    <w:p w14:paraId="0994539A" w14:textId="77777777" w:rsidR="00A32788" w:rsidRDefault="00000000">
      <w:pPr>
        <w:spacing w:before="30" w:after="30"/>
      </w:pPr>
      <w:r>
        <w:rPr>
          <w:b/>
          <w:bCs/>
          <w:color w:val="2E5496"/>
          <w:sz w:val="20"/>
          <w:szCs w:val="20"/>
        </w:rPr>
        <w:t>Substantiation</w:t>
      </w:r>
    </w:p>
    <w:p w14:paraId="1A57E00A" w14:textId="77777777" w:rsidR="00A32788" w:rsidRDefault="00000000">
      <w:pPr>
        <w:numPr>
          <w:ilvl w:val="0"/>
          <w:numId w:val="3"/>
        </w:numPr>
        <w:pBdr>
          <w:top w:val="nil"/>
          <w:left w:val="nil"/>
          <w:bottom w:val="nil"/>
          <w:right w:val="nil"/>
          <w:between w:val="nil"/>
        </w:pBdr>
        <w:spacing w:after="55"/>
      </w:pPr>
      <w:r>
        <w:rPr>
          <w:b/>
          <w:bCs/>
          <w:color w:val="000000"/>
        </w:rPr>
        <w:t xml:space="preserve">Joseph claimed a direct translation. </w:t>
      </w:r>
      <w:r>
        <w:rPr>
          <w:color w:val="000000"/>
        </w:rPr>
        <w:t xml:space="preserve">The canonized heading still reads: “Translated from the Papyrus, by Joseph Smith … written by his own hand, upon papyrus.” </w:t>
      </w:r>
      <w:hyperlink r:id="rId6">
        <w:r w:rsidR="00A32788">
          <w:rPr>
            <w:color w:val="0563C1"/>
            <w:u w:val="single"/>
          </w:rPr>
          <w:t>Abraham 1</w:t>
        </w:r>
      </w:hyperlink>
    </w:p>
    <w:p w14:paraId="383A8FBD" w14:textId="77777777" w:rsidR="00A32788" w:rsidRDefault="00000000">
      <w:pPr>
        <w:numPr>
          <w:ilvl w:val="0"/>
          <w:numId w:val="3"/>
        </w:numPr>
        <w:pBdr>
          <w:top w:val="nil"/>
          <w:left w:val="nil"/>
          <w:bottom w:val="nil"/>
          <w:right w:val="nil"/>
          <w:between w:val="nil"/>
        </w:pBdr>
        <w:spacing w:after="55"/>
      </w:pPr>
      <w:r>
        <w:rPr>
          <w:b/>
          <w:bCs/>
          <w:color w:val="000000"/>
        </w:rPr>
        <w:t xml:space="preserve">The Church’s historians agree. </w:t>
      </w:r>
      <w:r>
        <w:rPr>
          <w:color w:val="000000"/>
        </w:rPr>
        <w:t xml:space="preserve">The Joseph Smith Papers: “Joseph Smith used the term translation to describe his work,” first published as “A TRANSLATION </w:t>
      </w:r>
      <w:r>
        <w:t>O</w:t>
      </w:r>
      <w:r>
        <w:rPr>
          <w:color w:val="000000"/>
        </w:rPr>
        <w:t xml:space="preserve">f some ancient Records.” In the manuscripts, papyrus characters are copied beside the matching English. </w:t>
      </w:r>
      <w:hyperlink r:id="rId7">
        <w:r w:rsidR="00A32788">
          <w:rPr>
            <w:color w:val="0563C1"/>
            <w:u w:val="single"/>
          </w:rPr>
          <w:t>Joseph Smith Papers</w:t>
        </w:r>
      </w:hyperlink>
    </w:p>
    <w:p w14:paraId="39A910AA" w14:textId="77777777" w:rsidR="00A32788" w:rsidRDefault="00000000">
      <w:pPr>
        <w:numPr>
          <w:ilvl w:val="0"/>
          <w:numId w:val="3"/>
        </w:numPr>
        <w:pBdr>
          <w:top w:val="nil"/>
          <w:left w:val="nil"/>
          <w:bottom w:val="nil"/>
          <w:right w:val="nil"/>
          <w:between w:val="nil"/>
        </w:pBdr>
        <w:spacing w:after="55"/>
      </w:pPr>
      <w:r>
        <w:rPr>
          <w:b/>
          <w:bCs/>
          <w:color w:val="000000"/>
        </w:rPr>
        <w:t xml:space="preserve">The grammar is in his hand. </w:t>
      </w:r>
      <w:r>
        <w:rPr>
          <w:color w:val="000000"/>
        </w:rPr>
        <w:t xml:space="preserve">His “handwriting appears in two” of the Egyptian-language documents; the essay describes “another manuscript, written by Joseph Smith and Oliver Cowdery.” </w:t>
      </w:r>
      <w:hyperlink r:id="rId8">
        <w:r w:rsidR="00A32788">
          <w:rPr>
            <w:color w:val="0563C1"/>
            <w:u w:val="single"/>
          </w:rPr>
          <w:t>Book of Abraham essay</w:t>
        </w:r>
      </w:hyperlink>
    </w:p>
    <w:p w14:paraId="25F11CC8" w14:textId="77777777" w:rsidR="00A32788" w:rsidRDefault="00000000">
      <w:pPr>
        <w:numPr>
          <w:ilvl w:val="0"/>
          <w:numId w:val="3"/>
        </w:numPr>
        <w:pBdr>
          <w:top w:val="nil"/>
          <w:left w:val="nil"/>
          <w:bottom w:val="nil"/>
          <w:right w:val="nil"/>
          <w:between w:val="nil"/>
        </w:pBdr>
        <w:spacing w:after="55"/>
      </w:pPr>
      <w:r>
        <w:rPr>
          <w:b/>
          <w:bCs/>
          <w:color w:val="000000"/>
        </w:rPr>
        <w:t xml:space="preserve">The facsimiles are wrong. </w:t>
      </w:r>
      <w:r>
        <w:rPr>
          <w:color w:val="000000"/>
        </w:rPr>
        <w:t>Joseph drew in portions of Facsimile 1 that were missing from the damaged papyrus, and Egyptologists (Latter-day Saint and not) agree his interpretations of all three facsimiles do not match their actual Egyptian meaning — a point the Church’s own essay concedes</w:t>
      </w:r>
      <w:r>
        <w:t>:</w:t>
      </w:r>
    </w:p>
    <w:tbl>
      <w:tblPr>
        <w:tblStyle w:val="a"/>
        <w:tblW w:w="883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5"/>
      </w:tblGrid>
      <w:tr w:rsidR="00A32788" w14:paraId="0090D0F5" w14:textId="77777777">
        <w:trPr>
          <w:trHeight w:val="1305"/>
        </w:trPr>
        <w:tc>
          <w:tcPr>
            <w:tcW w:w="8835" w:type="dxa"/>
            <w:tcBorders>
              <w:top w:val="nil"/>
              <w:left w:val="single" w:sz="24" w:space="0" w:color="980000"/>
              <w:bottom w:val="nil"/>
              <w:right w:val="nil"/>
            </w:tcBorders>
            <w:tcMar>
              <w:top w:w="100" w:type="dxa"/>
              <w:left w:w="100" w:type="dxa"/>
              <w:bottom w:w="100" w:type="dxa"/>
              <w:right w:w="100" w:type="dxa"/>
            </w:tcMar>
          </w:tcPr>
          <w:p w14:paraId="2DE9E206" w14:textId="77777777" w:rsidR="00A32788" w:rsidRDefault="00000000">
            <w:pPr>
              <w:spacing w:after="55"/>
            </w:pPr>
            <w:r>
              <w:t xml:space="preserve">“None of the characters on the papyrus fragments mentioned Abraham’s name or any of the events recorded in the book of Abraham. Latter-day Saint and non-Latter-day Saint Egyptologists agree that the characters on the fragments do not match the translation given in the book of Abraham…” “Long before the fragments were published by the Church, some Egyptologists had said that Joseph Smith’s explanations of the various elements of these facsimiles did not match their own interpretations of these drawings.” </w:t>
            </w:r>
            <w:hyperlink r:id="rId9">
              <w:r w:rsidR="00A32788">
                <w:rPr>
                  <w:color w:val="0563C1"/>
                  <w:u w:val="single"/>
                </w:rPr>
                <w:t>Book of Abraham essay</w:t>
              </w:r>
            </w:hyperlink>
          </w:p>
        </w:tc>
      </w:tr>
    </w:tbl>
    <w:p w14:paraId="4EACF323" w14:textId="77777777" w:rsidR="00A32788" w:rsidRDefault="00A32788">
      <w:pPr>
        <w:pBdr>
          <w:top w:val="nil"/>
          <w:left w:val="nil"/>
          <w:bottom w:val="nil"/>
          <w:right w:val="nil"/>
          <w:between w:val="nil"/>
        </w:pBdr>
        <w:spacing w:after="55"/>
      </w:pPr>
    </w:p>
    <w:p w14:paraId="5BF85F07" w14:textId="77777777" w:rsidR="00A32788" w:rsidRDefault="00000000">
      <w:pPr>
        <w:numPr>
          <w:ilvl w:val="0"/>
          <w:numId w:val="3"/>
        </w:numPr>
        <w:pBdr>
          <w:top w:val="nil"/>
          <w:left w:val="nil"/>
          <w:bottom w:val="nil"/>
          <w:right w:val="nil"/>
          <w:between w:val="nil"/>
        </w:pBdr>
        <w:spacing w:after="55"/>
      </w:pPr>
      <w:r>
        <w:rPr>
          <w:b/>
          <w:bCs/>
          <w:color w:val="000000"/>
        </w:rPr>
        <w:t xml:space="preserve">Non-LDS Egyptologists agree (outside support). </w:t>
      </w:r>
      <w:r>
        <w:rPr>
          <w:color w:val="000000"/>
        </w:rPr>
        <w:t xml:space="preserve">Robert K. Ritner (Professor of Egyptology, University of Chicago), who produced the definitive scholarly edition of the papyri, concluded the source is the Egyptian “Breathing Permit of Hôr,” a common funerary text “misunderstood and mistranslated by Joseph Smith” (The Joseph Smith Egyptian Papyri: A Complete Edition, Signature Books, 2011) — and that over half of the Book of Abraham text was, in his assessment, invented by Smith from only two incomplete lines of that papyrus. As early as 1912, a survey of leading Egyptologists — Flinders Petrie, James H. Breasted, and A. H. Sayce — judged Joseph’s facsimile interpretations worthless. </w:t>
      </w:r>
      <w:hyperlink r:id="rId10">
        <w:r w:rsidR="00A32788">
          <w:rPr>
            <w:color w:val="0563C1"/>
            <w:u w:val="single"/>
          </w:rPr>
          <w:t>Ritner, The Joseph Smith Egyptian Papyri</w:t>
        </w:r>
      </w:hyperlink>
    </w:p>
    <w:p w14:paraId="626288A0" w14:textId="77777777" w:rsidR="00A32788" w:rsidRDefault="00000000">
      <w:pPr>
        <w:spacing w:before="40" w:after="30"/>
        <w:ind w:left="200"/>
      </w:pPr>
      <w:r>
        <w:rPr>
          <w:b/>
          <w:bCs/>
          <w:color w:val="0F6E64"/>
        </w:rPr>
        <w:t xml:space="preserve">Before. </w:t>
      </w:r>
      <w:r>
        <w:t>For over a century the book was taught as a literal translation of the papyri Joseph owned.</w:t>
      </w:r>
    </w:p>
    <w:p w14:paraId="79205057" w14:textId="77777777" w:rsidR="00A32788" w:rsidRDefault="00000000">
      <w:pPr>
        <w:spacing w:after="120"/>
        <w:ind w:left="200"/>
      </w:pPr>
      <w:r>
        <w:rPr>
          <w:b/>
          <w:bCs/>
          <w:color w:val="0F6E64"/>
        </w:rPr>
        <w:t xml:space="preserve">Now. </w:t>
      </w:r>
      <w:r>
        <w:t>After the papyri resurfaced in 1967 and proved to be funerary texts, the explanation shifted to a now-lost “missing scroll” or a “catalyst” that merely prompted revelation.</w:t>
      </w:r>
    </w:p>
    <w:tbl>
      <w:tblPr>
        <w:tblStyle w:val="a0"/>
        <w:tblW w:w="9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6"/>
        <w:gridCol w:w="3139"/>
        <w:gridCol w:w="3124"/>
      </w:tblGrid>
      <w:tr w:rsidR="00A32788" w14:paraId="05974CA7" w14:textId="77777777">
        <w:trPr>
          <w:tblHeader/>
        </w:trPr>
        <w:tc>
          <w:tcPr>
            <w:tcW w:w="3097" w:type="dxa"/>
            <w:tcBorders>
              <w:top w:val="single" w:sz="4" w:space="0" w:color="BBBBBB"/>
              <w:left w:val="single" w:sz="4" w:space="0" w:color="BBBBBB"/>
              <w:bottom w:val="single" w:sz="4" w:space="0" w:color="BBBBBB"/>
              <w:right w:val="single" w:sz="4" w:space="0" w:color="BBBBBB"/>
            </w:tcBorders>
            <w:shd w:val="clear" w:color="auto" w:fill="7A1F2B"/>
            <w:tcMar>
              <w:top w:w="80" w:type="dxa"/>
              <w:left w:w="120" w:type="dxa"/>
              <w:bottom w:w="80" w:type="dxa"/>
              <w:right w:w="120" w:type="dxa"/>
            </w:tcMar>
          </w:tcPr>
          <w:p w14:paraId="67B72139" w14:textId="77777777" w:rsidR="00A32788" w:rsidRDefault="00000000">
            <w:r>
              <w:rPr>
                <w:b/>
                <w:bCs/>
                <w:color w:val="FFFFFF"/>
                <w:sz w:val="20"/>
                <w:szCs w:val="20"/>
              </w:rPr>
              <w:t>Aspect</w:t>
            </w:r>
          </w:p>
        </w:tc>
        <w:tc>
          <w:tcPr>
            <w:tcW w:w="3139" w:type="dxa"/>
            <w:tcBorders>
              <w:top w:val="single" w:sz="4" w:space="0" w:color="BBBBBB"/>
              <w:left w:val="single" w:sz="4" w:space="0" w:color="BBBBBB"/>
              <w:bottom w:val="single" w:sz="4" w:space="0" w:color="BBBBBB"/>
              <w:right w:val="single" w:sz="4" w:space="0" w:color="BBBBBB"/>
            </w:tcBorders>
            <w:shd w:val="clear" w:color="auto" w:fill="7A1F2B"/>
            <w:tcMar>
              <w:top w:w="80" w:type="dxa"/>
              <w:left w:w="120" w:type="dxa"/>
              <w:bottom w:w="80" w:type="dxa"/>
              <w:right w:w="120" w:type="dxa"/>
            </w:tcMar>
          </w:tcPr>
          <w:p w14:paraId="77827F37" w14:textId="77777777" w:rsidR="00A32788" w:rsidRDefault="00000000">
            <w:r>
              <w:rPr>
                <w:b/>
                <w:bCs/>
                <w:color w:val="FFFFFF"/>
                <w:sz w:val="20"/>
                <w:szCs w:val="20"/>
              </w:rPr>
              <w:t>Earlier teaching</w:t>
            </w:r>
          </w:p>
        </w:tc>
        <w:tc>
          <w:tcPr>
            <w:tcW w:w="3124" w:type="dxa"/>
            <w:tcBorders>
              <w:top w:val="single" w:sz="4" w:space="0" w:color="BBBBBB"/>
              <w:left w:val="single" w:sz="4" w:space="0" w:color="BBBBBB"/>
              <w:bottom w:val="single" w:sz="4" w:space="0" w:color="BBBBBB"/>
              <w:right w:val="single" w:sz="4" w:space="0" w:color="BBBBBB"/>
            </w:tcBorders>
            <w:shd w:val="clear" w:color="auto" w:fill="7A1F2B"/>
            <w:tcMar>
              <w:top w:w="80" w:type="dxa"/>
              <w:left w:w="120" w:type="dxa"/>
              <w:bottom w:w="80" w:type="dxa"/>
              <w:right w:w="120" w:type="dxa"/>
            </w:tcMar>
          </w:tcPr>
          <w:p w14:paraId="64575651" w14:textId="77777777" w:rsidR="00A32788" w:rsidRDefault="00000000">
            <w:r>
              <w:rPr>
                <w:b/>
                <w:bCs/>
                <w:color w:val="FFFFFF"/>
                <w:sz w:val="20"/>
                <w:szCs w:val="20"/>
              </w:rPr>
              <w:t>Current explanation</w:t>
            </w:r>
          </w:p>
        </w:tc>
      </w:tr>
      <w:tr w:rsidR="00A32788" w14:paraId="75E73AD1" w14:textId="77777777">
        <w:tc>
          <w:tcPr>
            <w:tcW w:w="3097" w:type="dxa"/>
            <w:tcBorders>
              <w:top w:val="single" w:sz="4" w:space="0" w:color="BBBBBB"/>
              <w:left w:val="single" w:sz="4" w:space="0" w:color="BBBBBB"/>
              <w:bottom w:val="single" w:sz="4" w:space="0" w:color="BBBBBB"/>
              <w:right w:val="single" w:sz="4" w:space="0" w:color="BBBBBB"/>
            </w:tcBorders>
            <w:shd w:val="clear" w:color="auto" w:fill="F3EAEC"/>
            <w:tcMar>
              <w:top w:w="80" w:type="dxa"/>
              <w:left w:w="120" w:type="dxa"/>
              <w:bottom w:w="80" w:type="dxa"/>
              <w:right w:w="120" w:type="dxa"/>
            </w:tcMar>
          </w:tcPr>
          <w:p w14:paraId="18645360" w14:textId="77777777" w:rsidR="00A32788" w:rsidRDefault="00000000">
            <w:r>
              <w:rPr>
                <w:b/>
                <w:bCs/>
                <w:sz w:val="20"/>
                <w:szCs w:val="20"/>
              </w:rPr>
              <w:t>Origin of the text</w:t>
            </w:r>
          </w:p>
        </w:tc>
        <w:tc>
          <w:tcPr>
            <w:tcW w:w="3139" w:type="dxa"/>
            <w:tcBorders>
              <w:top w:val="single" w:sz="4" w:space="0" w:color="BBBBBB"/>
              <w:left w:val="single" w:sz="4" w:space="0" w:color="BBBBBB"/>
              <w:bottom w:val="single" w:sz="4" w:space="0" w:color="BBBBBB"/>
              <w:right w:val="single" w:sz="4" w:space="0" w:color="BBBBBB"/>
            </w:tcBorders>
            <w:tcMar>
              <w:top w:w="80" w:type="dxa"/>
              <w:left w:w="120" w:type="dxa"/>
              <w:bottom w:w="80" w:type="dxa"/>
              <w:right w:w="120" w:type="dxa"/>
            </w:tcMar>
          </w:tcPr>
          <w:p w14:paraId="5BDF3FE6" w14:textId="77777777" w:rsidR="00A32788" w:rsidRDefault="00000000">
            <w:r>
              <w:rPr>
                <w:sz w:val="20"/>
                <w:szCs w:val="20"/>
              </w:rPr>
              <w:t>Literal translation of the papyri Joseph owned.</w:t>
            </w:r>
          </w:p>
        </w:tc>
        <w:tc>
          <w:tcPr>
            <w:tcW w:w="3124" w:type="dxa"/>
            <w:tcBorders>
              <w:top w:val="single" w:sz="4" w:space="0" w:color="BBBBBB"/>
              <w:left w:val="single" w:sz="4" w:space="0" w:color="BBBBBB"/>
              <w:bottom w:val="single" w:sz="4" w:space="0" w:color="BBBBBB"/>
              <w:right w:val="single" w:sz="4" w:space="0" w:color="BBBBBB"/>
            </w:tcBorders>
            <w:tcMar>
              <w:top w:w="80" w:type="dxa"/>
              <w:left w:w="120" w:type="dxa"/>
              <w:bottom w:w="80" w:type="dxa"/>
              <w:right w:w="120" w:type="dxa"/>
            </w:tcMar>
          </w:tcPr>
          <w:p w14:paraId="1EA332F9" w14:textId="77777777" w:rsidR="00A32788" w:rsidRDefault="00000000">
            <w:r>
              <w:rPr>
                <w:sz w:val="20"/>
                <w:szCs w:val="20"/>
              </w:rPr>
              <w:t>A lost “missing scroll,” or the papyri as a “catalyst” not tied to the characters.</w:t>
            </w:r>
          </w:p>
        </w:tc>
      </w:tr>
      <w:tr w:rsidR="00A32788" w14:paraId="53897F11" w14:textId="77777777">
        <w:tc>
          <w:tcPr>
            <w:tcW w:w="3097" w:type="dxa"/>
            <w:tcBorders>
              <w:top w:val="single" w:sz="4" w:space="0" w:color="BBBBBB"/>
              <w:left w:val="single" w:sz="4" w:space="0" w:color="BBBBBB"/>
              <w:bottom w:val="single" w:sz="4" w:space="0" w:color="BBBBBB"/>
              <w:right w:val="single" w:sz="4" w:space="0" w:color="BBBBBB"/>
            </w:tcBorders>
            <w:shd w:val="clear" w:color="auto" w:fill="F3EAEC"/>
            <w:tcMar>
              <w:top w:w="80" w:type="dxa"/>
              <w:left w:w="120" w:type="dxa"/>
              <w:bottom w:w="80" w:type="dxa"/>
              <w:right w:w="120" w:type="dxa"/>
            </w:tcMar>
          </w:tcPr>
          <w:p w14:paraId="42C86541" w14:textId="77777777" w:rsidR="00A32788" w:rsidRDefault="00000000">
            <w:r>
              <w:rPr>
                <w:b/>
                <w:bCs/>
                <w:sz w:val="20"/>
                <w:szCs w:val="20"/>
              </w:rPr>
              <w:lastRenderedPageBreak/>
              <w:t>The surviving papyri</w:t>
            </w:r>
          </w:p>
        </w:tc>
        <w:tc>
          <w:tcPr>
            <w:tcW w:w="3139" w:type="dxa"/>
            <w:tcBorders>
              <w:top w:val="single" w:sz="4" w:space="0" w:color="BBBBBB"/>
              <w:left w:val="single" w:sz="4" w:space="0" w:color="BBBBBB"/>
              <w:bottom w:val="single" w:sz="4" w:space="0" w:color="BBBBBB"/>
              <w:right w:val="single" w:sz="4" w:space="0" w:color="BBBBBB"/>
            </w:tcBorders>
            <w:tcMar>
              <w:top w:w="80" w:type="dxa"/>
              <w:left w:w="120" w:type="dxa"/>
              <w:bottom w:w="80" w:type="dxa"/>
              <w:right w:w="120" w:type="dxa"/>
            </w:tcMar>
          </w:tcPr>
          <w:p w14:paraId="1CE135DF" w14:textId="77777777" w:rsidR="00A32788" w:rsidRDefault="00000000">
            <w:r>
              <w:rPr>
                <w:sz w:val="20"/>
                <w:szCs w:val="20"/>
              </w:rPr>
              <w:t>Assumed to be Abraham’s record.</w:t>
            </w:r>
          </w:p>
        </w:tc>
        <w:tc>
          <w:tcPr>
            <w:tcW w:w="3124" w:type="dxa"/>
            <w:tcBorders>
              <w:top w:val="single" w:sz="4" w:space="0" w:color="BBBBBB"/>
              <w:left w:val="single" w:sz="4" w:space="0" w:color="BBBBBB"/>
              <w:bottom w:val="single" w:sz="4" w:space="0" w:color="BBBBBB"/>
              <w:right w:val="single" w:sz="4" w:space="0" w:color="BBBBBB"/>
            </w:tcBorders>
            <w:tcMar>
              <w:top w:w="80" w:type="dxa"/>
              <w:left w:w="120" w:type="dxa"/>
              <w:bottom w:w="80" w:type="dxa"/>
              <w:right w:w="120" w:type="dxa"/>
            </w:tcMar>
          </w:tcPr>
          <w:p w14:paraId="06DC7BE4" w14:textId="77777777" w:rsidR="00A32788" w:rsidRDefault="00000000">
            <w:r>
              <w:rPr>
                <w:sz w:val="20"/>
                <w:szCs w:val="20"/>
              </w:rPr>
              <w:t>Ordinary funerary texts, c. 3rd–1st century BCE, with no Abraham.</w:t>
            </w:r>
          </w:p>
        </w:tc>
      </w:tr>
      <w:tr w:rsidR="00A32788" w14:paraId="60DB3544" w14:textId="77777777">
        <w:tc>
          <w:tcPr>
            <w:tcW w:w="3097" w:type="dxa"/>
            <w:tcBorders>
              <w:top w:val="single" w:sz="4" w:space="0" w:color="BBBBBB"/>
              <w:left w:val="single" w:sz="4" w:space="0" w:color="BBBBBB"/>
              <w:bottom w:val="single" w:sz="4" w:space="0" w:color="BBBBBB"/>
              <w:right w:val="single" w:sz="4" w:space="0" w:color="BBBBBB"/>
            </w:tcBorders>
            <w:shd w:val="clear" w:color="auto" w:fill="F3EAEC"/>
            <w:tcMar>
              <w:top w:w="80" w:type="dxa"/>
              <w:left w:w="120" w:type="dxa"/>
              <w:bottom w:w="80" w:type="dxa"/>
              <w:right w:w="120" w:type="dxa"/>
            </w:tcMar>
          </w:tcPr>
          <w:p w14:paraId="5CDC9394" w14:textId="77777777" w:rsidR="00A32788" w:rsidRDefault="00000000">
            <w:r>
              <w:rPr>
                <w:b/>
                <w:bCs/>
                <w:sz w:val="20"/>
                <w:szCs w:val="20"/>
              </w:rPr>
              <w:t>The facsimiles</w:t>
            </w:r>
          </w:p>
        </w:tc>
        <w:tc>
          <w:tcPr>
            <w:tcW w:w="3139" w:type="dxa"/>
            <w:tcBorders>
              <w:top w:val="single" w:sz="4" w:space="0" w:color="BBBBBB"/>
              <w:left w:val="single" w:sz="4" w:space="0" w:color="BBBBBB"/>
              <w:bottom w:val="single" w:sz="4" w:space="0" w:color="BBBBBB"/>
              <w:right w:val="single" w:sz="4" w:space="0" w:color="BBBBBB"/>
            </w:tcBorders>
            <w:tcMar>
              <w:top w:w="80" w:type="dxa"/>
              <w:left w:w="120" w:type="dxa"/>
              <w:bottom w:w="80" w:type="dxa"/>
              <w:right w:w="120" w:type="dxa"/>
            </w:tcMar>
          </w:tcPr>
          <w:p w14:paraId="15167DE5" w14:textId="77777777" w:rsidR="00A32788" w:rsidRDefault="00000000">
            <w:r>
              <w:rPr>
                <w:sz w:val="20"/>
                <w:szCs w:val="20"/>
              </w:rPr>
              <w:t>Joseph’s interpretations are correct.</w:t>
            </w:r>
          </w:p>
        </w:tc>
        <w:tc>
          <w:tcPr>
            <w:tcW w:w="3124" w:type="dxa"/>
            <w:tcBorders>
              <w:top w:val="single" w:sz="4" w:space="0" w:color="BBBBBB"/>
              <w:left w:val="single" w:sz="4" w:space="0" w:color="BBBBBB"/>
              <w:bottom w:val="single" w:sz="4" w:space="0" w:color="BBBBBB"/>
              <w:right w:val="single" w:sz="4" w:space="0" w:color="BBBBBB"/>
            </w:tcBorders>
            <w:tcMar>
              <w:top w:w="80" w:type="dxa"/>
              <w:left w:w="120" w:type="dxa"/>
              <w:bottom w:w="80" w:type="dxa"/>
              <w:right w:w="120" w:type="dxa"/>
            </w:tcMar>
          </w:tcPr>
          <w:p w14:paraId="1AE8679A" w14:textId="77777777" w:rsidR="00A32788" w:rsidRDefault="00000000">
            <w:r>
              <w:rPr>
                <w:sz w:val="20"/>
                <w:szCs w:val="20"/>
              </w:rPr>
              <w:t>Egyptologists agree they do not match.</w:t>
            </w:r>
          </w:p>
        </w:tc>
      </w:tr>
    </w:tbl>
    <w:p w14:paraId="549765FE" w14:textId="77777777" w:rsidR="00A32788" w:rsidRDefault="00000000">
      <w:pPr>
        <w:spacing w:before="30" w:after="30"/>
      </w:pPr>
      <w:r>
        <w:rPr>
          <w:b/>
          <w:bCs/>
          <w:color w:val="595959"/>
          <w:sz w:val="20"/>
          <w:szCs w:val="20"/>
        </w:rPr>
        <w:t>Counterarguments</w:t>
      </w:r>
    </w:p>
    <w:p w14:paraId="4F309784" w14:textId="77777777" w:rsidR="00A32788" w:rsidRDefault="00000000">
      <w:pPr>
        <w:numPr>
          <w:ilvl w:val="0"/>
          <w:numId w:val="3"/>
        </w:numPr>
        <w:pBdr>
          <w:top w:val="nil"/>
          <w:left w:val="nil"/>
          <w:bottom w:val="nil"/>
          <w:right w:val="nil"/>
          <w:between w:val="nil"/>
        </w:pBdr>
        <w:spacing w:after="70"/>
      </w:pPr>
      <w:r>
        <w:rPr>
          <w:b/>
          <w:bCs/>
          <w:color w:val="000000"/>
        </w:rPr>
        <w:t xml:space="preserve">“The real text was on a missing portion of the scroll (the ‘missing scroll’ theory).” </w:t>
      </w:r>
      <w:r>
        <w:rPr>
          <w:color w:val="000000"/>
        </w:rPr>
        <w:t xml:space="preserve">— Two problems. First, it contradicts the Church’s own catalyst theory — the essay offers the catalyst idea precisely because the surviving characters don’t translate as claimed, so the two defenses undercut each other. Second, the math is disputed: John Gee estimates tens of feet are missing, but Cook and Smith’s scroll-winding analysis (Dialogue, 2010) concludes </w:t>
      </w:r>
      <w:r>
        <w:t>that a maximum of</w:t>
      </w:r>
      <w:r>
        <w:rPr>
          <w:color w:val="000000"/>
        </w:rPr>
        <w:t xml:space="preserve"> 56 cm could be missing from the interior — far short of the ~5 meters a hieratic Book of Abraham would need. And the canonized heading still says it was translated “from the Papyrus … written by his own hand.” </w:t>
      </w:r>
      <w:hyperlink r:id="rId11">
        <w:r w:rsidR="00A32788">
          <w:rPr>
            <w:color w:val="0563C1"/>
            <w:u w:val="single"/>
          </w:rPr>
          <w:t>Cook &amp; Smith, Dialogue (2010)</w:t>
        </w:r>
      </w:hyperlink>
    </w:p>
    <w:p w14:paraId="16317F6B" w14:textId="77777777" w:rsidR="00A32788" w:rsidRDefault="00000000">
      <w:pPr>
        <w:numPr>
          <w:ilvl w:val="0"/>
          <w:numId w:val="3"/>
        </w:numPr>
        <w:pBdr>
          <w:top w:val="nil"/>
          <w:left w:val="nil"/>
          <w:bottom w:val="nil"/>
          <w:right w:val="nil"/>
          <w:between w:val="nil"/>
        </w:pBdr>
        <w:spacing w:after="70"/>
      </w:pPr>
      <w:r>
        <w:rPr>
          <w:b/>
          <w:bCs/>
          <w:color w:val="000000"/>
        </w:rPr>
        <w:t xml:space="preserve">“The papyri were only a catalyst for revelation.” </w:t>
      </w:r>
      <w:r>
        <w:rPr>
          <w:color w:val="000000"/>
        </w:rPr>
        <w:t>— Then it is not a translation, which is what Joseph and the canonized scripture call it — and it doesn’t explain why the Church spent significant funds to acquire papyri it now says were not the actual source.</w:t>
      </w:r>
    </w:p>
    <w:p w14:paraId="03F1E4E5" w14:textId="77777777" w:rsidR="00A32788" w:rsidRDefault="00000000">
      <w:pPr>
        <w:numPr>
          <w:ilvl w:val="0"/>
          <w:numId w:val="3"/>
        </w:numPr>
        <w:pBdr>
          <w:top w:val="nil"/>
          <w:left w:val="nil"/>
          <w:bottom w:val="nil"/>
          <w:right w:val="nil"/>
          <w:between w:val="nil"/>
        </w:pBdr>
        <w:spacing w:after="70"/>
      </w:pPr>
      <w:r>
        <w:rPr>
          <w:b/>
          <w:bCs/>
          <w:color w:val="000000"/>
        </w:rPr>
        <w:t xml:space="preserve">“The Dead Sea Scrolls confirm it.” </w:t>
      </w:r>
      <w:r>
        <w:rPr>
          <w:color w:val="000000"/>
        </w:rPr>
        <w:t xml:space="preserve">— </w:t>
      </w:r>
      <w:r>
        <w:t xml:space="preserve">The claim is that texts unknown in Joseph’s day contain Book-of-Abraham-like details — Abraham nearly sacrificed by idolatrous priests, Abraham teaching astronomy to the Egyptians, a heavenly council of gods — that he could not have guessed. But of the three texts usually cited (the Apocalypse of Abraham, the Testament of Abraham, and the Genesis Apocryphon), only the Genesis Apocryphon is a Dead Sea Scroll, and its distinctive content (a dream warning Abraham about Pharaoh) is absent from the Book of Abraham. More important, the strongest of these parallels were already available to Joseph in books circulating in his region of America: the Abraham-and-the-idolatrous-priests episode appears in the Book of Jasher, and Abraham teaching the Egyptians astronomy comes straight from Josephus’s Antiquities. And no parallel of any kind connects the text to the funerary papyrus it was actually produced from. </w:t>
      </w:r>
      <w:hyperlink r:id="rId12">
        <w:r w:rsidR="00A32788">
          <w:rPr>
            <w:color w:val="0563C1"/>
            <w:u w:val="single"/>
          </w:rPr>
          <w:t>Book of Abraham essay</w:t>
        </w:r>
      </w:hyperlink>
    </w:p>
    <w:p w14:paraId="71E6E16E" w14:textId="77777777" w:rsidR="00A32788" w:rsidRDefault="00000000">
      <w:pPr>
        <w:numPr>
          <w:ilvl w:val="0"/>
          <w:numId w:val="3"/>
        </w:numPr>
        <w:pBdr>
          <w:top w:val="nil"/>
          <w:left w:val="nil"/>
          <w:bottom w:val="nil"/>
          <w:right w:val="nil"/>
          <w:between w:val="nil"/>
        </w:pBdr>
        <w:spacing w:after="70"/>
      </w:pPr>
      <w:r>
        <w:rPr>
          <w:b/>
          <w:bCs/>
          <w:color w:val="000000"/>
        </w:rPr>
        <w:t xml:space="preserve">“The text itself contains authentic ancient details Joseph could not have guessed — the place-name Olishem, ‘Kolob,’ the god Elkenah.” </w:t>
      </w:r>
      <w:r>
        <w:rPr>
          <w:color w:val="000000"/>
        </w:rPr>
        <w:t xml:space="preserve">— These are a handful of loose name-resemblances assembled after the fact, and several are disputed even among Latter-day Saint scholars (the location and identity of Olishem/Ulisum are contested; ‘Kolob’ and ‘Elkenah’ are not Egyptian at all). Picking a few </w:t>
      </w:r>
      <w:r>
        <w:rPr>
          <w:i/>
          <w:iCs/>
          <w:color w:val="000000"/>
        </w:rPr>
        <w:t>possible</w:t>
      </w:r>
      <w:r>
        <w:rPr>
          <w:color w:val="000000"/>
        </w:rPr>
        <w:t xml:space="preserve"> hits while ignoring that the actual surviving source is a funerary papyrus Joseph mistranslated from beginning to end is not evidence of translation — a genuine translation does not score a few debatable matches against a document that never mentions Abraham.</w:t>
      </w:r>
    </w:p>
    <w:p w14:paraId="41633AA9" w14:textId="77777777" w:rsidR="00A32788" w:rsidRDefault="00000000">
      <w:pPr>
        <w:numPr>
          <w:ilvl w:val="0"/>
          <w:numId w:val="3"/>
        </w:numPr>
        <w:pBdr>
          <w:top w:val="nil"/>
          <w:left w:val="nil"/>
          <w:bottom w:val="nil"/>
          <w:right w:val="nil"/>
          <w:between w:val="nil"/>
        </w:pBdr>
        <w:spacing w:after="70"/>
      </w:pPr>
      <w:r>
        <w:rPr>
          <w:b/>
          <w:bCs/>
          <w:color w:val="000000"/>
        </w:rPr>
        <w:t xml:space="preserve">“Joseph never claimed the facsimile explanations were a word-for-word translation — they are interpretive.” </w:t>
      </w:r>
      <w:r>
        <w:rPr>
          <w:color w:val="000000"/>
        </w:rPr>
        <w:t xml:space="preserve">— </w:t>
      </w:r>
      <w:r>
        <w:t>He assigned specific identities to specific figures — naming an Egyptian funerary deity ‘Abraham,’ the goddess Maat a male prince, the jackal-god Anubis a slave — and Egyptologists agree each is wrong. ‘Interpretive’ does not cover labeling a standard embalming scene as Abraham’s near-sacrifice on an altar. And the modern “it was never meant as a literal translation” defense sits badly with Joseph’s own approach to scripture: he insisted texts be read plainly — he called the book of Revelation “one of the plainest books God ever caused to be written” and taught that when John saw a beast, he saw an actual beast, not a symbol (</w:t>
      </w:r>
      <w:hyperlink r:id="rId13">
        <w:r w:rsidR="00A32788">
          <w:rPr>
            <w:color w:val="0563C1"/>
            <w:u w:val="single"/>
          </w:rPr>
          <w:t>Teachings of the Prophet Joseph Smith, 289–91</w:t>
        </w:r>
      </w:hyperlink>
      <w:r>
        <w:t xml:space="preserve">). A prophet who refused to allegorize the Bible cannot now be rescued by allegorizing his own “translation.” </w:t>
      </w:r>
    </w:p>
    <w:p w14:paraId="16CE4F6C" w14:textId="77777777" w:rsidR="00A32788" w:rsidRDefault="00000000">
      <w:r>
        <w:br w:type="page"/>
      </w:r>
    </w:p>
    <w:p w14:paraId="03C9968A" w14:textId="77777777" w:rsidR="00A32788" w:rsidRDefault="00000000">
      <w:pPr>
        <w:pStyle w:val="Heading1"/>
      </w:pPr>
      <w:r>
        <w:lastRenderedPageBreak/>
        <w:t>2. The Book of Mormon is a 19th-century work, not an ancient record</w:t>
      </w:r>
    </w:p>
    <w:p w14:paraId="67A0D75D" w14:textId="77777777" w:rsidR="00A32788" w:rsidRDefault="00000000">
      <w:pPr>
        <w:pStyle w:val="Heading2"/>
      </w:pPr>
      <w:r>
        <w:t>It contains Christian doctrine centuries too early</w:t>
      </w:r>
    </w:p>
    <w:p w14:paraId="20730392" w14:textId="77777777" w:rsidR="00A32788" w:rsidRDefault="00000000">
      <w:pPr>
        <w:spacing w:before="20" w:after="90"/>
      </w:pPr>
      <w:r>
        <w:rPr>
          <w:b/>
          <w:bCs/>
          <w:color w:val="7A1F2B"/>
        </w:rPr>
        <w:t xml:space="preserve">Claim.  </w:t>
      </w:r>
      <w:r>
        <w:t>Fully developed Christian doctrine — the name “Jesus Christ,” immersion baptism for the remission of sins, and an organized “church of Christ” — appears around 600–545 BCE (2 Nephi 25; 2 Nephi 31; Mosiah 3), centuries before any of it existed in Judaism. This is the Protestant Christianity of Joseph Smith’s own day projected onto the ancient world.</w:t>
      </w:r>
    </w:p>
    <w:p w14:paraId="775CCA62" w14:textId="77777777" w:rsidR="00A32788" w:rsidRDefault="00000000">
      <w:pPr>
        <w:spacing w:before="30" w:after="30"/>
      </w:pPr>
      <w:r>
        <w:rPr>
          <w:b/>
          <w:bCs/>
          <w:color w:val="2E5496"/>
          <w:sz w:val="20"/>
          <w:szCs w:val="20"/>
        </w:rPr>
        <w:t>Substantiation</w:t>
      </w:r>
    </w:p>
    <w:p w14:paraId="3DCD0358" w14:textId="77777777" w:rsidR="00A32788" w:rsidRDefault="00000000">
      <w:pPr>
        <w:numPr>
          <w:ilvl w:val="0"/>
          <w:numId w:val="3"/>
        </w:numPr>
        <w:pBdr>
          <w:top w:val="nil"/>
          <w:left w:val="nil"/>
          <w:bottom w:val="nil"/>
          <w:right w:val="nil"/>
          <w:between w:val="nil"/>
        </w:pBdr>
        <w:spacing w:after="55"/>
      </w:pPr>
      <w:r>
        <w:rPr>
          <w:b/>
          <w:bCs/>
          <w:color w:val="000000"/>
        </w:rPr>
        <w:t xml:space="preserve">See </w:t>
      </w:r>
      <w:hyperlink r:id="rId14">
        <w:r w:rsidR="00A32788">
          <w:rPr>
            <w:color w:val="0563C1"/>
            <w:u w:val="single"/>
          </w:rPr>
          <w:t>2 Nephi 31</w:t>
        </w:r>
      </w:hyperlink>
      <w:r>
        <w:rPr>
          <w:color w:val="000000"/>
        </w:rPr>
        <w:t xml:space="preserve">, </w:t>
      </w:r>
      <w:r>
        <w:t xml:space="preserve">and </w:t>
      </w:r>
      <w:hyperlink r:id="rId15">
        <w:r w:rsidR="00A32788">
          <w:rPr>
            <w:color w:val="1155CC"/>
            <w:u w:val="single"/>
          </w:rPr>
          <w:t>Mosiah 18</w:t>
        </w:r>
      </w:hyperlink>
      <w:r>
        <w:t>, which describe immersion baptism for the remission of sins, while</w:t>
      </w:r>
      <w:hyperlink r:id="rId16">
        <w:r w:rsidR="00A32788">
          <w:t xml:space="preserve"> </w:t>
        </w:r>
      </w:hyperlink>
      <w:hyperlink r:id="rId17">
        <w:r w:rsidR="00A32788">
          <w:rPr>
            <w:color w:val="1155CC"/>
            <w:u w:val="single"/>
          </w:rPr>
          <w:t>Mosiah 3</w:t>
        </w:r>
      </w:hyperlink>
      <w:r>
        <w:t xml:space="preserve"> and</w:t>
      </w:r>
      <w:hyperlink r:id="rId18">
        <w:r w:rsidR="00A32788">
          <w:t xml:space="preserve"> </w:t>
        </w:r>
      </w:hyperlink>
      <w:hyperlink r:id="rId19">
        <w:r w:rsidR="00A32788">
          <w:rPr>
            <w:color w:val="1155CC"/>
            <w:u w:val="single"/>
          </w:rPr>
          <w:t>2 Nephi 25</w:t>
        </w:r>
      </w:hyperlink>
      <w:r>
        <w:t xml:space="preserve"> preach the atonement and name Jesus Christ — all set centuries before his birth. The book contains over 60 references to baptism before Christ’s birth, yet Christian baptism begins with John the Baptist c. 27–29 AD, roughly 570–610 years later.</w:t>
      </w:r>
    </w:p>
    <w:p w14:paraId="7D06169D" w14:textId="77777777" w:rsidR="00A32788" w:rsidRDefault="00000000">
      <w:pPr>
        <w:numPr>
          <w:ilvl w:val="0"/>
          <w:numId w:val="3"/>
        </w:numPr>
        <w:pBdr>
          <w:top w:val="nil"/>
          <w:left w:val="nil"/>
          <w:bottom w:val="nil"/>
          <w:right w:val="nil"/>
          <w:between w:val="nil"/>
        </w:pBdr>
        <w:spacing w:after="55"/>
      </w:pPr>
      <w:r>
        <w:rPr>
          <w:b/>
          <w:bCs/>
          <w:color w:val="000000"/>
        </w:rPr>
        <w:t xml:space="preserve">It mirrors 1820s revivalism (outside support). </w:t>
      </w:r>
      <w:r>
        <w:rPr>
          <w:color w:val="000000"/>
        </w:rPr>
        <w:t xml:space="preserve">The book describes baptism by immersion “for the remission of sins,” a named “Church” of Christ, and a developed atonement theology — the frontier revivalist Christianity Joseph Smith grew up in, not the religion of pre-exilic Israel. On how Christian baptism actually developed, see Everett Ferguson, Baptism in the Early Church (Eerdmans, 2009). </w:t>
      </w:r>
      <w:hyperlink r:id="rId20">
        <w:r w:rsidR="00A32788">
          <w:rPr>
            <w:color w:val="0563C1"/>
            <w:u w:val="single"/>
          </w:rPr>
          <w:t>Ferguson, Baptism in the Early Church (Eerdmans)</w:t>
        </w:r>
      </w:hyperlink>
    </w:p>
    <w:p w14:paraId="6D9E8875" w14:textId="77777777" w:rsidR="00A32788" w:rsidRDefault="00000000">
      <w:pPr>
        <w:numPr>
          <w:ilvl w:val="0"/>
          <w:numId w:val="3"/>
        </w:numPr>
        <w:spacing w:after="60"/>
      </w:pPr>
      <w:r>
        <w:rPr>
          <w:b/>
          <w:bCs/>
        </w:rPr>
        <w:t xml:space="preserve">“Jesus Christ” is named centuries before Christ. </w:t>
      </w:r>
      <w:r>
        <w:t>The book does not merely expect a messiah — it gives his name. Nephi writes, about 559 BCE, that “his name shall be Jesus Christ, the Son of God” (</w:t>
      </w:r>
      <w:hyperlink r:id="rId21">
        <w:r w:rsidR="00A32788">
          <w:rPr>
            <w:color w:val="1155CC"/>
            <w:u w:val="single"/>
          </w:rPr>
          <w:t>2 Nephi 25:19</w:t>
        </w:r>
      </w:hyperlink>
      <w:r>
        <w:t>), and by about 73 BCE believers are already called “Christians” (</w:t>
      </w:r>
      <w:hyperlink r:id="rId22">
        <w:r w:rsidR="00A32788">
          <w:rPr>
            <w:color w:val="0563C1"/>
            <w:u w:val="single"/>
          </w:rPr>
          <w:t>Alma 46:15</w:t>
        </w:r>
      </w:hyperlink>
      <w:r>
        <w:t>). Yet the New Testament itself dates that term to after Christ’s ministry: “the disciples were called Christians first in Antioch” (</w:t>
      </w:r>
      <w:hyperlink r:id="rId23">
        <w:r w:rsidR="00A32788">
          <w:rPr>
            <w:color w:val="1155CC"/>
            <w:u w:val="single"/>
          </w:rPr>
          <w:t>Acts 11:26</w:t>
        </w:r>
      </w:hyperlink>
      <w:r>
        <w:t xml:space="preserve">). In fairness, “Christ” is only the Greek for the Hebrew “Messiah,” so a translator could fairly render it — but that defense covers the words, not the substance: no authentic pre-Christian text names “Jesus Christ” or lays out his atonement, crucifixion, and resurrection in New-Testament terms centuries in advance, and none has a people calling themselves “Christians” before Christ was born. A 2026 phrase census quantified it: the pre-Christian “small plates” (1 Nephi–Omni) contain </w:t>
      </w:r>
      <w:r>
        <w:rPr>
          <w:b/>
          <w:bCs/>
        </w:rPr>
        <w:t>567</w:t>
      </w:r>
      <w:r>
        <w:t xml:space="preserve"> distinct five-word phrases found </w:t>
      </w:r>
      <w:r>
        <w:rPr>
          <w:b/>
          <w:bCs/>
          <w:u w:val="single"/>
        </w:rPr>
        <w:t>only</w:t>
      </w:r>
      <w:r>
        <w:t xml:space="preserve"> in the New Testament and </w:t>
      </w:r>
      <w:r>
        <w:rPr>
          <w:b/>
          <w:bCs/>
          <w:u w:val="single"/>
        </w:rPr>
        <w:t>nowhere</w:t>
      </w:r>
      <w:r>
        <w:t xml:space="preserve"> in the Old Testament — roughly one New-Testament-exclusive phrasing per hundred words — among them “the power of the Holy Ghost,” “the Lamb of God,” and “the twelve apostles of the Lamb.”</w:t>
      </w:r>
    </w:p>
    <w:p w14:paraId="75E5E16B" w14:textId="77777777" w:rsidR="00A32788" w:rsidRDefault="00A32788">
      <w:pPr>
        <w:spacing w:before="80" w:after="160"/>
        <w:ind w:left="200"/>
      </w:pPr>
      <w:hyperlink r:id="rId24">
        <w:r>
          <w:rPr>
            <w:b/>
            <w:bCs/>
            <w:color w:val="1155CC"/>
            <w:u w:val="single"/>
          </w:rPr>
          <w:t xml:space="preserve">▶ Companion document — </w:t>
        </w:r>
      </w:hyperlink>
      <w:hyperlink r:id="rId25">
        <w:r>
          <w:rPr>
            <w:b/>
            <w:bCs/>
            <w:i/>
            <w:iCs/>
            <w:color w:val="1155CC"/>
            <w:u w:val="single"/>
          </w:rPr>
          <w:t>Four Computational Studies on the Origin of the Book of Mormon</w:t>
        </w:r>
      </w:hyperlink>
      <w:r w:rsidR="00000000">
        <w:t>: Study 3 counts New-Testament-only phrasing in the pre-Christian small plates — 567 distinct five-word phrases that appear only in the New Testament, about one per hundred words.</w:t>
      </w:r>
    </w:p>
    <w:p w14:paraId="0F05BBE3" w14:textId="77777777" w:rsidR="00A32788" w:rsidRDefault="00000000">
      <w:pPr>
        <w:spacing w:before="30" w:after="30"/>
      </w:pPr>
      <w:r>
        <w:rPr>
          <w:b/>
          <w:bCs/>
          <w:color w:val="595959"/>
          <w:sz w:val="20"/>
          <w:szCs w:val="20"/>
        </w:rPr>
        <w:t>Counterarguments</w:t>
      </w:r>
    </w:p>
    <w:p w14:paraId="6A05AA3C" w14:textId="77777777" w:rsidR="00A32788" w:rsidRDefault="00000000">
      <w:pPr>
        <w:numPr>
          <w:ilvl w:val="0"/>
          <w:numId w:val="3"/>
        </w:numPr>
        <w:pBdr>
          <w:top w:val="nil"/>
          <w:left w:val="nil"/>
          <w:bottom w:val="nil"/>
          <w:right w:val="nil"/>
          <w:between w:val="nil"/>
        </w:pBdr>
        <w:spacing w:after="70"/>
      </w:pPr>
      <w:r>
        <w:rPr>
          <w:b/>
          <w:bCs/>
          <w:color w:val="000000"/>
        </w:rPr>
        <w:t xml:space="preserve">“Nephite prophets had revealed foreknowledge of Christ.” </w:t>
      </w:r>
      <w:r>
        <w:rPr>
          <w:color w:val="000000"/>
        </w:rPr>
        <w:t>— A developed New-Testament theology — the name Jesus Christ, immersion baptism for remission of sins, an organized church — appearing in pre-exilic Israel, which had none of these, fits 1800s Christianity far better than 600 BCE Judaism.</w:t>
      </w:r>
    </w:p>
    <w:p w14:paraId="7660B787" w14:textId="77777777" w:rsidR="00A32788" w:rsidRDefault="00000000">
      <w:pPr>
        <w:numPr>
          <w:ilvl w:val="0"/>
          <w:numId w:val="3"/>
        </w:numPr>
        <w:pBdr>
          <w:top w:val="nil"/>
          <w:left w:val="nil"/>
          <w:bottom w:val="nil"/>
          <w:right w:val="nil"/>
          <w:between w:val="nil"/>
        </w:pBdr>
        <w:spacing w:after="70"/>
      </w:pPr>
      <w:r>
        <w:rPr>
          <w:b/>
          <w:bCs/>
          <w:color w:val="000000"/>
        </w:rPr>
        <w:t xml:space="preserve">“The brass plates held prophetic writings (Zenos, Zenock) richer than our Old Testament, so detailed knowledge of Christ is possible.” </w:t>
      </w:r>
      <w:r>
        <w:rPr>
          <w:color w:val="000000"/>
        </w:rPr>
        <w:t xml:space="preserve">— </w:t>
      </w:r>
      <w:r>
        <w:t xml:space="preserve">Appealing to lost records no one can examine is unfalsifiable, and it does not explain the specific New-Testament vocabulary — the name ‘Jesus Christ,’ an organized ‘church,’ immersion ‘baptism for the remission of sins’ — appearing centuries before any of it existed. Expecting a messiah is one thing; fully formed Christianity with its institutions is another. It also creates a problem the book never resolves: if the complete gospel, the Church of Christ, baptism, and the name and atonement of Jesus were already possessed and preached for six centuries before his birth, his mortal ministry has little left to reveal or establish — it significantly diminishes the significance of Christ’s ministry. A world already fully Christian before Christ is exactly what a nineteenth-century author, unable to picture Israel without the New Testament, would unconsciously produce. </w:t>
      </w:r>
    </w:p>
    <w:p w14:paraId="776DC048" w14:textId="77777777" w:rsidR="00A32788" w:rsidRDefault="00000000">
      <w:pPr>
        <w:numPr>
          <w:ilvl w:val="0"/>
          <w:numId w:val="3"/>
        </w:numPr>
        <w:pBdr>
          <w:top w:val="nil"/>
          <w:left w:val="nil"/>
          <w:bottom w:val="nil"/>
          <w:right w:val="nil"/>
          <w:between w:val="nil"/>
        </w:pBdr>
        <w:spacing w:after="70"/>
      </w:pPr>
      <w:r>
        <w:rPr>
          <w:b/>
          <w:bCs/>
          <w:color w:val="000000"/>
        </w:rPr>
        <w:t xml:space="preserve">“Immersion for religious purposes existed for centuries before Christ, so baptism is not anachronistic.” </w:t>
      </w:r>
      <w:r>
        <w:rPr>
          <w:color w:val="000000"/>
        </w:rPr>
        <w:t xml:space="preserve">— Jewish ritual immersion (the mikveh) did exist — but it was a repeated purity </w:t>
      </w:r>
      <w:r>
        <w:rPr>
          <w:color w:val="000000"/>
        </w:rPr>
        <w:lastRenderedPageBreak/>
        <w:t xml:space="preserve">washing, not the one-time, salvific ordinance the Book of Mormon describes: baptism “for the remission of sins,” administered within a named “church of Christ” as initiation into a Christian covenant community. (Whether even Jewish proselyte-baptism predates Christianity is itself debated among scholars.) The anachronism is not immersion in water; it is the fully-formed Christian ordinance, in Christ’s name, appearing in pre-exilic Israel. (On the Jewish antecedents and how Christian baptism differs, see Ferguson, Baptism in the Early Church.) </w:t>
      </w:r>
      <w:hyperlink r:id="rId26">
        <w:r w:rsidR="00A32788">
          <w:rPr>
            <w:color w:val="0563C1"/>
            <w:u w:val="single"/>
          </w:rPr>
          <w:t>Ferguson, Baptism in the Early Church (Eerdmans)</w:t>
        </w:r>
      </w:hyperlink>
    </w:p>
    <w:p w14:paraId="48768F4E" w14:textId="77777777" w:rsidR="00A32788" w:rsidRDefault="00000000">
      <w:pPr>
        <w:numPr>
          <w:ilvl w:val="0"/>
          <w:numId w:val="3"/>
        </w:numPr>
        <w:pBdr>
          <w:top w:val="nil"/>
          <w:left w:val="nil"/>
          <w:bottom w:val="nil"/>
          <w:right w:val="nil"/>
          <w:between w:val="nil"/>
        </w:pBdr>
        <w:spacing w:after="70"/>
      </w:pPr>
      <w:r>
        <w:rPr>
          <w:b/>
          <w:bCs/>
          <w:color w:val="000000"/>
        </w:rPr>
        <w:t xml:space="preserve">“‘Savior’ appears in Isaiah and elsewhere before Christ, so naming a savior is not anachronistic.” </w:t>
      </w:r>
      <w:r>
        <w:rPr>
          <w:color w:val="000000"/>
        </w:rPr>
        <w:t xml:space="preserve">— True — the Hebrew Bible calls God, and various human deliverers, a “savior” (moshia). But as the substantiation above shows, the Book of Mormon does far more than use that word: it names “Jesus Christ,” and preaches his atonement, crucifixion, and resurrection, centuries in advance. Calling God your deliverer is ancient Israelite religion; preaching the gospel of Jesus Christ by name is not. </w:t>
      </w:r>
      <w:hyperlink r:id="rId27">
        <w:r w:rsidR="00A32788">
          <w:rPr>
            <w:color w:val="0563C1"/>
            <w:u w:val="single"/>
          </w:rPr>
          <w:t>2 Nephi 25</w:t>
        </w:r>
      </w:hyperlink>
    </w:p>
    <w:p w14:paraId="076474A3" w14:textId="77777777" w:rsidR="00A32788" w:rsidRDefault="00A32788">
      <w:pPr>
        <w:pBdr>
          <w:bottom w:val="single" w:sz="4" w:space="2" w:color="DDDDDD"/>
        </w:pBdr>
        <w:spacing w:before="60" w:after="60"/>
      </w:pPr>
    </w:p>
    <w:p w14:paraId="33DB47C4" w14:textId="77777777" w:rsidR="00A32788" w:rsidRDefault="00000000">
      <w:pPr>
        <w:pStyle w:val="Heading2"/>
      </w:pPr>
      <w:r>
        <w:t>It is written in King James English and copies the King James Bible</w:t>
      </w:r>
    </w:p>
    <w:p w14:paraId="7E5CE6AB" w14:textId="77777777" w:rsidR="00A32788" w:rsidRDefault="00000000">
      <w:pPr>
        <w:spacing w:before="20" w:after="90"/>
      </w:pPr>
      <w:r>
        <w:rPr>
          <w:b/>
          <w:bCs/>
          <w:color w:val="7A1F2B"/>
        </w:rPr>
        <w:t xml:space="preserve">Claim.  </w:t>
      </w:r>
      <w:r>
        <w:t>The Book of Mormon, published in 1830, is written in obsolete Elizabethan (King James) English — a style already two centuries out of date — and copies more than 200 verses from the 1769 King James Bible, including words italicized in the KJV that English translators added and that do not exist in the Hebrew. This marks it as a 19th-century work imitating the Bible, not an independent ancient record.</w:t>
      </w:r>
    </w:p>
    <w:p w14:paraId="4D0A1E5D" w14:textId="77777777" w:rsidR="00A32788" w:rsidRDefault="00000000">
      <w:pPr>
        <w:spacing w:before="30" w:after="30"/>
      </w:pPr>
      <w:r>
        <w:rPr>
          <w:b/>
          <w:bCs/>
          <w:color w:val="2E5496"/>
          <w:sz w:val="20"/>
          <w:szCs w:val="20"/>
        </w:rPr>
        <w:t>Substantiation</w:t>
      </w:r>
    </w:p>
    <w:p w14:paraId="183BB386" w14:textId="77777777" w:rsidR="00A32788" w:rsidRDefault="00000000">
      <w:pPr>
        <w:numPr>
          <w:ilvl w:val="0"/>
          <w:numId w:val="3"/>
        </w:numPr>
        <w:pBdr>
          <w:top w:val="nil"/>
          <w:left w:val="nil"/>
          <w:bottom w:val="nil"/>
          <w:right w:val="nil"/>
          <w:between w:val="nil"/>
        </w:pBdr>
        <w:spacing w:after="55"/>
      </w:pPr>
      <w:r>
        <w:rPr>
          <w:b/>
          <w:bCs/>
          <w:color w:val="000000"/>
        </w:rPr>
        <w:t xml:space="preserve">Compare the text </w:t>
      </w:r>
      <w:r>
        <w:rPr>
          <w:color w:val="000000"/>
        </w:rPr>
        <w:t xml:space="preserve">directly on the Church’s scripture site; the borrowed wording is visible verse by verse. </w:t>
      </w:r>
      <w:hyperlink r:id="rId28">
        <w:r w:rsidR="00A32788">
          <w:rPr>
            <w:color w:val="0563C1"/>
            <w:u w:val="single"/>
          </w:rPr>
          <w:t>2 Nephi 12</w:t>
        </w:r>
      </w:hyperlink>
      <w:r>
        <w:t xml:space="preserve"> &amp; </w:t>
      </w:r>
      <w:hyperlink r:id="rId29">
        <w:r w:rsidR="00A32788">
          <w:rPr>
            <w:color w:val="1155CC"/>
            <w:u w:val="single"/>
          </w:rPr>
          <w:t>Isaiah 2</w:t>
        </w:r>
      </w:hyperlink>
      <w:r>
        <w:t xml:space="preserve"> as examples.</w:t>
      </w:r>
    </w:p>
    <w:p w14:paraId="4562D812" w14:textId="77777777" w:rsidR="00A32788" w:rsidRDefault="00000000">
      <w:pPr>
        <w:numPr>
          <w:ilvl w:val="0"/>
          <w:numId w:val="3"/>
        </w:numPr>
        <w:pBdr>
          <w:top w:val="nil"/>
          <w:left w:val="nil"/>
          <w:bottom w:val="nil"/>
          <w:right w:val="nil"/>
          <w:between w:val="nil"/>
        </w:pBdr>
        <w:spacing w:after="55"/>
      </w:pPr>
      <w:r>
        <w:rPr>
          <w:b/>
          <w:bCs/>
          <w:color w:val="000000"/>
        </w:rPr>
        <w:t xml:space="preserve">Translation choices copied. </w:t>
      </w:r>
      <w:r>
        <w:rPr>
          <w:color w:val="000000"/>
        </w:rPr>
        <w:t xml:space="preserve">The book reproduces the King James translators’ own word-choices — including ones with no ancient basis. At </w:t>
      </w:r>
      <w:hyperlink r:id="rId30">
        <w:r w:rsidR="00A32788">
          <w:rPr>
            <w:color w:val="1155CC"/>
            <w:u w:val="single"/>
          </w:rPr>
          <w:t>2 Nephi 24:12</w:t>
        </w:r>
      </w:hyperlink>
      <w:r>
        <w:rPr>
          <w:color w:val="000000"/>
        </w:rPr>
        <w:t xml:space="preserve"> (</w:t>
      </w:r>
      <w:hyperlink r:id="rId31">
        <w:r w:rsidR="00A32788">
          <w:rPr>
            <w:color w:val="1155CC"/>
            <w:u w:val="single"/>
          </w:rPr>
          <w:t>Isaiah 14:12</w:t>
        </w:r>
      </w:hyperlink>
      <w:r>
        <w:rPr>
          <w:color w:val="000000"/>
        </w:rPr>
        <w:t xml:space="preserve">) it keeps “Lucifer,” a name imported from the Latin Vulgate, where the Hebrew has only helel, “morning star” — so a Latin rendering appears in a text that should predate Latin by centuries. At </w:t>
      </w:r>
      <w:hyperlink r:id="rId32">
        <w:r w:rsidR="00A32788">
          <w:rPr>
            <w:color w:val="1155CC"/>
            <w:u w:val="single"/>
          </w:rPr>
          <w:t>2 Nephi 19:1</w:t>
        </w:r>
      </w:hyperlink>
      <w:r>
        <w:rPr>
          <w:color w:val="000000"/>
        </w:rPr>
        <w:t xml:space="preserve"> (</w:t>
      </w:r>
      <w:hyperlink r:id="rId33">
        <w:r w:rsidR="00A32788">
          <w:rPr>
            <w:color w:val="1155CC"/>
            <w:u w:val="single"/>
          </w:rPr>
          <w:t>Isaiah 9:1</w:t>
        </w:r>
      </w:hyperlink>
      <w:r>
        <w:rPr>
          <w:color w:val="000000"/>
        </w:rPr>
        <w:t>) it copies the KJV’s questionable “grievously afflict” for a Hebrew root that means to honor or make glorious. This is the fingerprint of the 1611/1769 English Bible: a genuine 600 BCE record could not reproduce word-choices that later English and Latin translators introduced.</w:t>
      </w:r>
    </w:p>
    <w:p w14:paraId="7C0813CF" w14:textId="77777777" w:rsidR="00A32788" w:rsidRDefault="00000000">
      <w:pPr>
        <w:numPr>
          <w:ilvl w:val="0"/>
          <w:numId w:val="3"/>
        </w:numPr>
        <w:spacing w:after="60"/>
      </w:pPr>
      <w:r>
        <w:rPr>
          <w:rFonts w:ascii="Times New Roman" w:eastAsia="Times New Roman" w:hAnsi="Times New Roman" w:cs="Times New Roman"/>
          <w:sz w:val="14"/>
          <w:szCs w:val="14"/>
        </w:rPr>
        <w:t xml:space="preserve"> </w:t>
      </w:r>
      <w:r>
        <w:rPr>
          <w:b/>
          <w:bCs/>
        </w:rPr>
        <w:t xml:space="preserve">Translator-added italics copied. </w:t>
      </w:r>
      <w:r>
        <w:t xml:space="preserve">To smooth the English, the King James translators added words that have no counterpart in the Hebrew — and flagged them by printing them in italics. Those very italicized words reappear in the Book of Mormon as if they had been on the ancient plates: the supplied “is” at </w:t>
      </w:r>
      <w:hyperlink r:id="rId34">
        <w:r w:rsidR="00A32788">
          <w:rPr>
            <w:color w:val="1155CC"/>
            <w:u w:val="single"/>
          </w:rPr>
          <w:t>2 Nephi 16:3</w:t>
        </w:r>
      </w:hyperlink>
      <w:r>
        <w:t xml:space="preserve"> (</w:t>
      </w:r>
      <w:hyperlink r:id="rId35">
        <w:r w:rsidR="00A32788">
          <w:rPr>
            <w:color w:val="1155CC"/>
            <w:u w:val="single"/>
          </w:rPr>
          <w:t>Isaiah 6:3</w:t>
        </w:r>
      </w:hyperlink>
      <w:r>
        <w:t xml:space="preserve">), “them” at </w:t>
      </w:r>
      <w:hyperlink r:id="rId36">
        <w:r w:rsidR="00A32788">
          <w:rPr>
            <w:color w:val="1155CC"/>
            <w:u w:val="single"/>
          </w:rPr>
          <w:t>1 Nephi 20:3</w:t>
        </w:r>
      </w:hyperlink>
      <w:r>
        <w:t xml:space="preserve"> (</w:t>
      </w:r>
      <w:hyperlink r:id="rId37">
        <w:r w:rsidR="00A32788">
          <w:rPr>
            <w:color w:val="1155CC"/>
            <w:u w:val="single"/>
          </w:rPr>
          <w:t>Isaiah 48:3</w:t>
        </w:r>
      </w:hyperlink>
      <w:r>
        <w:t xml:space="preserve">), and “there is” at </w:t>
      </w:r>
      <w:hyperlink r:id="rId38">
        <w:r w:rsidR="00A32788">
          <w:rPr>
            <w:color w:val="1155CC"/>
            <w:u w:val="single"/>
          </w:rPr>
          <w:t>Mosiah 14:2</w:t>
        </w:r>
      </w:hyperlink>
      <w:r>
        <w:t xml:space="preserve"> (</w:t>
      </w:r>
      <w:hyperlink r:id="rId39">
        <w:r w:rsidR="00A32788">
          <w:rPr>
            <w:color w:val="1155CC"/>
            <w:u w:val="single"/>
          </w:rPr>
          <w:t>Isaiah 53:2</w:t>
        </w:r>
      </w:hyperlink>
      <w:r>
        <w:t>) among many others. An ancient record could not contain words that 1611 editors invented centuries later to fit English grammar. A 2026 word-by-word alignment of all 24 quoted Bible chapters put numbers to this: 62% of those translator-invented italic words sit verbatim in the Book of Mormon, and where the text does depart from the King James wording the changes concentrate at the italics at nearly seven times (6.9×) the background rate — the signature of someone editing with a printed King James Bible open before them, since italics exist only on the printed page and cannot be heard in dictation.</w:t>
      </w:r>
    </w:p>
    <w:p w14:paraId="5CECF444" w14:textId="77777777" w:rsidR="00A32788" w:rsidRDefault="00A32788">
      <w:pPr>
        <w:spacing w:before="80" w:after="160"/>
        <w:rPr>
          <w:b/>
          <w:bCs/>
        </w:rPr>
      </w:pPr>
      <w:hyperlink r:id="rId40">
        <w:r>
          <w:rPr>
            <w:b/>
            <w:bCs/>
            <w:color w:val="1155CC"/>
            <w:u w:val="single"/>
          </w:rPr>
          <w:t xml:space="preserve">▶ Companion document — </w:t>
        </w:r>
      </w:hyperlink>
      <w:hyperlink r:id="rId41">
        <w:r>
          <w:rPr>
            <w:b/>
            <w:bCs/>
            <w:i/>
            <w:iCs/>
            <w:color w:val="1155CC"/>
            <w:u w:val="single"/>
          </w:rPr>
          <w:t>Four Computational Studies on the Origin of the Book of Mormon</w:t>
        </w:r>
      </w:hyperlink>
      <w:r w:rsidR="00000000">
        <w:t>: Study 2 aligns all 24 quoted Bible chapters word-by-word — 93% verbatim, 62% of the translators’ invented italic words kept, and edits concentrated at the italics at 6.9× the background rate.</w:t>
      </w:r>
    </w:p>
    <w:p w14:paraId="0963CF84" w14:textId="77777777" w:rsidR="00A32788" w:rsidRDefault="00000000">
      <w:pPr>
        <w:numPr>
          <w:ilvl w:val="0"/>
          <w:numId w:val="3"/>
        </w:numPr>
        <w:pBdr>
          <w:top w:val="nil"/>
          <w:left w:val="nil"/>
          <w:bottom w:val="nil"/>
          <w:right w:val="nil"/>
          <w:between w:val="nil"/>
        </w:pBdr>
        <w:spacing w:after="55"/>
      </w:pPr>
      <w:r>
        <w:rPr>
          <w:b/>
          <w:bCs/>
          <w:color w:val="000000"/>
        </w:rPr>
        <w:t xml:space="preserve">It even reproduces the King James Bible’s mistakes. </w:t>
      </w:r>
      <w:r>
        <w:rPr>
          <w:color w:val="000000"/>
        </w:rPr>
        <w:t xml:space="preserve">More telling than borrowed wording is borrowed error. In </w:t>
      </w:r>
      <w:hyperlink r:id="rId42">
        <w:r w:rsidR="00A32788">
          <w:rPr>
            <w:color w:val="1155CC"/>
            <w:u w:val="single"/>
          </w:rPr>
          <w:t>3 Nephi 13:13</w:t>
        </w:r>
      </w:hyperlink>
      <w:r>
        <w:rPr>
          <w:color w:val="000000"/>
        </w:rPr>
        <w:t xml:space="preserve"> the risen Jesus, speaking to the Nephites about AD 34, ends the Lord’s Prayer with “For thine is the kingdom, and the power, and the glory, for ever” (</w:t>
      </w:r>
      <w:hyperlink r:id="rId43">
        <w:r w:rsidR="00A32788">
          <w:rPr>
            <w:color w:val="1155CC"/>
            <w:u w:val="single"/>
          </w:rPr>
          <w:t>Matthew 6:13</w:t>
        </w:r>
      </w:hyperlink>
      <w:r>
        <w:rPr>
          <w:color w:val="000000"/>
        </w:rPr>
        <w:t xml:space="preserve">) — a doxology missing from the earliest Greek manuscripts and now recognized as a later scribal addition. And </w:t>
      </w:r>
      <w:hyperlink r:id="rId44">
        <w:r w:rsidR="00A32788">
          <w:rPr>
            <w:color w:val="1155CC"/>
            <w:u w:val="single"/>
          </w:rPr>
          <w:t>2 Nephi 23:21–22</w:t>
        </w:r>
      </w:hyperlink>
      <w:r>
        <w:rPr>
          <w:color w:val="000000"/>
        </w:rPr>
        <w:t xml:space="preserve"> (</w:t>
      </w:r>
      <w:hyperlink r:id="rId45">
        <w:r w:rsidR="00A32788">
          <w:rPr>
            <w:color w:val="1155CC"/>
            <w:u w:val="single"/>
          </w:rPr>
          <w:t>Isaiah 13:21–22</w:t>
        </w:r>
      </w:hyperlink>
      <w:r>
        <w:rPr>
          <w:color w:val="000000"/>
        </w:rPr>
        <w:t>) keeps the King James “dragons” and “satyrs,” mythical creatures produced by mistranslating Hebrew animal names (“satyr” is Greek myth). A record that supposedly escaped centuries of textual corruption should not inherit a 17th-century Bible’s additions and mistranslations.</w:t>
      </w:r>
    </w:p>
    <w:p w14:paraId="551CA343" w14:textId="77777777" w:rsidR="00A32788" w:rsidRDefault="00000000">
      <w:pPr>
        <w:spacing w:before="30" w:after="30"/>
      </w:pPr>
      <w:r>
        <w:rPr>
          <w:b/>
          <w:bCs/>
          <w:color w:val="595959"/>
          <w:sz w:val="20"/>
          <w:szCs w:val="20"/>
        </w:rPr>
        <w:lastRenderedPageBreak/>
        <w:t>Counterarguments</w:t>
      </w:r>
    </w:p>
    <w:p w14:paraId="46B036E7" w14:textId="77777777" w:rsidR="00A32788" w:rsidRDefault="00000000">
      <w:pPr>
        <w:numPr>
          <w:ilvl w:val="0"/>
          <w:numId w:val="3"/>
        </w:numPr>
        <w:pBdr>
          <w:top w:val="nil"/>
          <w:left w:val="nil"/>
          <w:bottom w:val="nil"/>
          <w:right w:val="nil"/>
          <w:between w:val="nil"/>
        </w:pBdr>
        <w:spacing w:after="70"/>
      </w:pPr>
      <w:r>
        <w:rPr>
          <w:b/>
          <w:bCs/>
          <w:color w:val="000000"/>
        </w:rPr>
        <w:t xml:space="preserve">“Isaiah was on the brass plates, and God used the King James idiom the Saints knew.” </w:t>
      </w:r>
      <w:r>
        <w:rPr>
          <w:color w:val="000000"/>
        </w:rPr>
        <w:t>— It matches the specific 1769 edition, including words inserted by 18th-century translators for readability. A revealed translation reproducing one English edition’s editorial insertions — and its old-fashioned style — has no good explanation on the traditional view.</w:t>
      </w:r>
    </w:p>
    <w:p w14:paraId="71371588" w14:textId="77777777" w:rsidR="00A32788" w:rsidRDefault="00000000">
      <w:pPr>
        <w:numPr>
          <w:ilvl w:val="0"/>
          <w:numId w:val="3"/>
        </w:numPr>
        <w:pBdr>
          <w:top w:val="nil"/>
          <w:left w:val="nil"/>
          <w:bottom w:val="nil"/>
          <w:right w:val="nil"/>
          <w:between w:val="nil"/>
        </w:pBdr>
        <w:spacing w:after="70"/>
      </w:pPr>
      <w:r>
        <w:rPr>
          <w:b/>
          <w:bCs/>
          <w:color w:val="000000"/>
        </w:rPr>
        <w:t xml:space="preserve">“The text contains ‘Early Modern English’ grammar (Skousen and Carmack) that Joseph couldn’t have known, proving he didn’t write it.” </w:t>
      </w:r>
      <w:r>
        <w:rPr>
          <w:color w:val="000000"/>
        </w:rPr>
        <w:t xml:space="preserve">— </w:t>
      </w:r>
      <w:r>
        <w:t xml:space="preserve">Stanford Carmack and Royal Skousen argue that the text contains “Early Modern English” grammar — usages common around 1500–1700 but archaic by 1829 — that Joseph supposedly could not have imitated, which they take as proof God dictated the words to him. But this theory is disputed even among Latter-day Saint scholars, and the simpler explanation is that Joseph imitated King James English (itself Early Modern English, printed in every home) and overshot, producing archaic-sounding forms. It also doesn’t rescue the core problem — the text still reproduces the 1769 King James readings and its translator-added italics — and it raises a new puzzle: why would God dictate 16th-century English word-for-word in 1829? And it collides with the italics evidence above (Study 2): the very clustering of the text’s changes at the King James italics — a pattern Skousen himself documented — only makes sense if the translation was tracking a printed 1769 English Bible, which a “God-dictated Early Modern English” thesis cannot accommodate. </w:t>
      </w:r>
      <w:r>
        <w:rPr>
          <w:color w:val="000000"/>
        </w:rPr>
        <w:t xml:space="preserve"> </w:t>
      </w:r>
      <w:hyperlink r:id="rId46">
        <w:r w:rsidR="00A32788">
          <w:rPr>
            <w:color w:val="0563C1"/>
            <w:u w:val="single"/>
          </w:rPr>
          <w:t>On Book of Mormon linguistics</w:t>
        </w:r>
      </w:hyperlink>
    </w:p>
    <w:p w14:paraId="6941E589" w14:textId="77777777" w:rsidR="00A32788" w:rsidRDefault="00000000">
      <w:pPr>
        <w:numPr>
          <w:ilvl w:val="0"/>
          <w:numId w:val="3"/>
        </w:numPr>
        <w:pBdr>
          <w:top w:val="nil"/>
          <w:left w:val="nil"/>
          <w:bottom w:val="nil"/>
          <w:right w:val="nil"/>
          <w:between w:val="nil"/>
        </w:pBdr>
        <w:spacing w:after="70"/>
      </w:pPr>
      <w:r>
        <w:rPr>
          <w:b/>
          <w:bCs/>
          <w:color w:val="000000"/>
        </w:rPr>
        <w:t xml:space="preserve">“Chiasmus — especially </w:t>
      </w:r>
      <w:r>
        <w:rPr>
          <w:b/>
          <w:bCs/>
        </w:rPr>
        <w:t>Alma 36</w:t>
      </w:r>
      <w:r>
        <w:rPr>
          <w:b/>
          <w:bCs/>
          <w:color w:val="000000"/>
        </w:rPr>
        <w:t xml:space="preserve"> — proves an ancient Hebrew origin Joseph could not have faked.” </w:t>
      </w:r>
      <w:r>
        <w:rPr>
          <w:color w:val="000000"/>
        </w:rPr>
        <w:t>— Chiasmus is not unique to Hebrew; it is common in Greek, Latin, and English literature and saturates the King James Bible Joseph knew intimately (</w:t>
      </w:r>
      <w:hyperlink r:id="rId47">
        <w:r w:rsidR="00A32788">
          <w:rPr>
            <w:color w:val="1155CC"/>
            <w:u w:val="single"/>
          </w:rPr>
          <w:t>Leviticus 24</w:t>
        </w:r>
      </w:hyperlink>
      <w:r>
        <w:rPr>
          <w:color w:val="000000"/>
        </w:rPr>
        <w:t xml:space="preserve">; </w:t>
      </w:r>
      <w:hyperlink r:id="rId48">
        <w:r w:rsidR="00A32788">
          <w:rPr>
            <w:color w:val="1155CC"/>
            <w:u w:val="single"/>
          </w:rPr>
          <w:t>Matthew 23:12</w:t>
        </w:r>
      </w:hyperlink>
      <w:r>
        <w:rPr>
          <w:color w:val="000000"/>
        </w:rPr>
        <w:t xml:space="preserve">), so a Bible-soaked 19th-century writer would produce it naturally. Additionally, </w:t>
      </w:r>
      <w:r>
        <w:t>t</w:t>
      </w:r>
      <w:r>
        <w:rPr>
          <w:color w:val="000000"/>
        </w:rPr>
        <w:t xml:space="preserve">he celebrated </w:t>
      </w:r>
      <w:hyperlink r:id="rId49">
        <w:r w:rsidR="00A32788">
          <w:rPr>
            <w:color w:val="1155CC"/>
            <w:u w:val="single"/>
          </w:rPr>
          <w:t>Alma 36</w:t>
        </w:r>
      </w:hyperlink>
      <w:r>
        <w:rPr>
          <w:color w:val="000000"/>
        </w:rPr>
        <w:t xml:space="preserve"> example is built partly by the analyst’s selective choice of which words count as ‘elements’ to suggest this </w:t>
      </w:r>
      <w:r>
        <w:t>chiasmatic style.</w:t>
      </w:r>
      <w:r>
        <w:rPr>
          <w:color w:val="000000"/>
        </w:rPr>
        <w:t xml:space="preserve"> </w:t>
      </w:r>
      <w:r>
        <w:t>Furthermore,</w:t>
      </w:r>
      <w:r>
        <w:rPr>
          <w:color w:val="000000"/>
        </w:rPr>
        <w:t xml:space="preserve"> chiasmus also appears in the King James Bible Joseph read daily — the textbook example is </w:t>
      </w:r>
      <w:hyperlink r:id="rId50">
        <w:r w:rsidR="00A32788">
          <w:rPr>
            <w:color w:val="1155CC"/>
            <w:u w:val="single"/>
          </w:rPr>
          <w:t>Genesis 9:6</w:t>
        </w:r>
      </w:hyperlink>
      <w:r>
        <w:rPr>
          <w:color w:val="000000"/>
        </w:rPr>
        <w:t>, “Whoso sheddeth man’s blood, by man shall his blood be shed” — and chiastic patterns have likewise been identified in Joseph’s own dictated revelations (</w:t>
      </w:r>
      <w:r>
        <w:t>chiastic structures have been proposed within the Doctrine and Covenants, though how deliberate those are is debated among scholars. Either way, the form was fully available to a nineteenth-century Bible reader and cannot by itself require an ancient author</w:t>
      </w:r>
      <w:r>
        <w:rPr>
          <w:color w:val="000000"/>
        </w:rPr>
        <w:t xml:space="preserve">). Hebrew parallelism had been described in English since Robert Lowth’s widely reprinted 1753 lecture. </w:t>
      </w:r>
      <w:hyperlink r:id="rId51">
        <w:r w:rsidR="00A32788">
          <w:rPr>
            <w:color w:val="0563C1"/>
            <w:u w:val="single"/>
          </w:rPr>
          <w:t>Lowth, Lectures on the Sacred Poetry of the Hebrews</w:t>
        </w:r>
      </w:hyperlink>
      <w:r>
        <w:t xml:space="preserve"> (see Lecture XIX)</w:t>
      </w:r>
    </w:p>
    <w:p w14:paraId="200F9E99" w14:textId="77777777" w:rsidR="00A32788" w:rsidRDefault="00000000">
      <w:pPr>
        <w:numPr>
          <w:ilvl w:val="0"/>
          <w:numId w:val="3"/>
        </w:numPr>
        <w:pBdr>
          <w:top w:val="nil"/>
          <w:left w:val="nil"/>
          <w:bottom w:val="nil"/>
          <w:right w:val="nil"/>
          <w:between w:val="nil"/>
        </w:pBdr>
        <w:spacing w:after="70"/>
      </w:pPr>
      <w:r>
        <w:rPr>
          <w:b/>
          <w:bCs/>
        </w:rPr>
        <w:t xml:space="preserve">“Computer ‘wordprint’ analysis shows the Book of Mormon has many distinct authorial voices — proof one man did not write it.” </w:t>
      </w:r>
      <w:r>
        <w:t xml:space="preserve">— The distinct-voices claim rests on “wordprint” studies from BYU (Larsen and Rencher, 1980; Hilton, 1990), and it does not survive proper controls. The flaw is in their design: they compared blocks of one narrator’s text against neighboring blocks of the same narrator — but adjacent text shares subject and vocabulary no matter who wrote it, so topic masquerades as authorship. A detailed 2026 reanalysis (linked below) rebuilt the test with the safeguards those studies left out, and the result is decisive. Using the original, sloppy method, the Book of Mormon’s narrators do look like clearly different writers. But add one obvious control — stop letting the computer “match” a narrator to another passage from the same book (nearby text shares the same subject and vocabulary and will look similar no matter who wrote it) — and the apparent differences almost entirely disappear. The same careful method still cleanly tells apart six real, known authors of that era, so it genuinely works; it simply finds no real seam inside the Book of Mormon. The giveaway is a control test: when the researchers took the writing of a single author (Mormon) and chopped it into four fake “narrators,” the sloppy method confidently declared those fakes to be different authors too — more confidently than it separated the book’s real narrators. Once the test is run properly, Jacob, Moroni, and every sermon-giver in the book (Benjamin, Abinadi, Alma, Samuel) are essentially indistinguishable. A method that “finds” distinct authors in text known to have a single author is measuring topic and genre, not authorship. This matches the peer-reviewed finding of Holmes (Journal of the Royal Statistical Society, 1992) that the book’s internal “authors” cluster as one style. The same reanalysis also disposes of the opposite claim — that stylometry pins the book on Sidney Rigdon or Solomon Spalding (Jockers, Witten and Criddle, 2008): under an open-set test the Book of Mormon matches no 19th-century candidate at </w:t>
      </w:r>
      <w:r>
        <w:lastRenderedPageBreak/>
        <w:t xml:space="preserve">all, with Spalding and Rigdon among the farthest of any, and even the Latter-day Saint statisticians’ own open-set reanalysis (Schaalje et al., 2011) reached the same anti-Spalding-Rigdon result. Closed-set methods like Jockers’ manufacture false “hits” by construction: delete a known author from the candidate list and the method still confidently misassigns 84% of his own text to someone else. In fairness this cuts both ways — stylometry gives no positive match to Joseph Smith either, because no candidate left a sustained scripture-imitation sample to compare against, so it cannot name the author. But that is exactly the point against the wordprint argument: there is no reliable multi-author signal to explain. A further test sharpens the picture: when Joseph Smith’s own dictated scripture (the Doctrine and Covenants, the Book of Moses) is added to the comparison, that scripture — not any rival author — becomes the Book of Mormon’s nearest measured stylistic relative. What the data do show is one sustained imitation-of-the-King-James idiom — every “voice” writing in identical 1769 English and reproducing the King James Isaiah, italics and all — which is what a single 19th-century author steeped in that Bible would produce, and what independent ancient writers across a thousand years would not.  </w:t>
      </w:r>
      <w:r>
        <w:rPr>
          <w:color w:val="000000"/>
        </w:rPr>
        <w:t xml:space="preserve"> </w:t>
      </w:r>
      <w:hyperlink r:id="rId52">
        <w:r w:rsidR="00A32788">
          <w:rPr>
            <w:color w:val="0563C1"/>
            <w:u w:val="single"/>
          </w:rPr>
          <w:t>Stylometry and the Book of Mormon (Scripture Central)</w:t>
        </w:r>
      </w:hyperlink>
    </w:p>
    <w:p w14:paraId="124427A8" w14:textId="77777777" w:rsidR="00A32788" w:rsidRDefault="00000000">
      <w:pPr>
        <w:numPr>
          <w:ilvl w:val="0"/>
          <w:numId w:val="3"/>
        </w:numPr>
        <w:spacing w:after="60"/>
      </w:pPr>
      <w:r>
        <w:rPr>
          <w:b/>
          <w:bCs/>
        </w:rPr>
        <w:t>Stylometry studies (outside support):</w:t>
      </w:r>
      <w:hyperlink r:id="rId53">
        <w:r w:rsidR="00A32788">
          <w:rPr>
            <w:b/>
            <w:bCs/>
          </w:rPr>
          <w:t xml:space="preserve"> </w:t>
        </w:r>
      </w:hyperlink>
      <w:hyperlink r:id="rId54">
        <w:r w:rsidR="00A32788">
          <w:rPr>
            <w:color w:val="1155CC"/>
            <w:u w:val="single"/>
          </w:rPr>
          <w:t>Jockers, Witten &amp; Criddle — closed-set attribution (2008)</w:t>
        </w:r>
      </w:hyperlink>
      <w:r>
        <w:t xml:space="preserve">  · </w:t>
      </w:r>
      <w:hyperlink r:id="rId55">
        <w:r w:rsidR="00A32788">
          <w:t xml:space="preserve"> </w:t>
        </w:r>
      </w:hyperlink>
      <w:hyperlink r:id="rId56">
        <w:r w:rsidR="00A32788">
          <w:rPr>
            <w:color w:val="1155CC"/>
            <w:u w:val="single"/>
          </w:rPr>
          <w:t>Schaalje, Fields, Roper &amp; Snow — open-set rebuttal that refutes Spalding–Rigdon (2011)</w:t>
        </w:r>
      </w:hyperlink>
    </w:p>
    <w:p w14:paraId="5BB203DD" w14:textId="77777777" w:rsidR="00A32788" w:rsidRDefault="00A32788">
      <w:pPr>
        <w:spacing w:before="80" w:after="160"/>
      </w:pPr>
      <w:hyperlink r:id="rId57">
        <w:r>
          <w:rPr>
            <w:b/>
            <w:bCs/>
            <w:color w:val="1155CC"/>
            <w:u w:val="single"/>
          </w:rPr>
          <w:t xml:space="preserve">▶ Companion document — </w:t>
        </w:r>
      </w:hyperlink>
      <w:hyperlink r:id="rId58">
        <w:r>
          <w:rPr>
            <w:b/>
            <w:bCs/>
            <w:i/>
            <w:iCs/>
            <w:color w:val="1155CC"/>
            <w:u w:val="single"/>
          </w:rPr>
          <w:t>A Stylometric Analysis of the Book of Mormon</w:t>
        </w:r>
      </w:hyperlink>
      <w:r w:rsidR="00000000">
        <w:t>: the full reanalysis behind the figures above — a validated pipeline, adjacency-blocking controls, the single-author null test, and open-set attribution, with all code and corpora.</w:t>
      </w:r>
    </w:p>
    <w:p w14:paraId="574B1917" w14:textId="77777777" w:rsidR="00A32788" w:rsidRDefault="00A32788">
      <w:pPr>
        <w:spacing w:before="80" w:after="160"/>
        <w:rPr>
          <w:i/>
          <w:iCs/>
          <w:color w:val="595959"/>
          <w:sz w:val="19"/>
          <w:szCs w:val="19"/>
        </w:rPr>
      </w:pPr>
      <w:hyperlink r:id="rId59">
        <w:r>
          <w:rPr>
            <w:b/>
            <w:bCs/>
            <w:color w:val="1155CC"/>
            <w:u w:val="single"/>
          </w:rPr>
          <w:t xml:space="preserve">▶ </w:t>
        </w:r>
      </w:hyperlink>
      <w:hyperlink r:id="rId60">
        <w:r>
          <w:rPr>
            <w:b/>
            <w:bCs/>
            <w:i/>
            <w:iCs/>
            <w:color w:val="1155CC"/>
            <w:u w:val="single"/>
          </w:rPr>
          <w:t>Full Stylometric Analysis of the Book of Mormon Manuscript</w:t>
        </w:r>
      </w:hyperlink>
      <w:r w:rsidR="00000000">
        <w:rPr>
          <w:i/>
          <w:iCs/>
          <w:color w:val="0F6E64"/>
        </w:rPr>
        <w:t xml:space="preserve"> </w:t>
      </w:r>
      <w:r w:rsidR="00000000">
        <w:t>(for comprehensive analysis)</w:t>
      </w:r>
    </w:p>
    <w:p w14:paraId="770E5F18" w14:textId="77777777" w:rsidR="00A32788" w:rsidRDefault="00A32788">
      <w:pPr>
        <w:spacing w:before="80" w:after="160"/>
        <w:rPr>
          <w:b/>
          <w:bCs/>
        </w:rPr>
      </w:pPr>
      <w:hyperlink r:id="rId61">
        <w:r>
          <w:rPr>
            <w:b/>
            <w:bCs/>
            <w:color w:val="1155CC"/>
            <w:u w:val="single"/>
          </w:rPr>
          <w:t xml:space="preserve">▶ Companion document — </w:t>
        </w:r>
      </w:hyperlink>
      <w:hyperlink r:id="rId62">
        <w:r>
          <w:rPr>
            <w:b/>
            <w:bCs/>
            <w:i/>
            <w:iCs/>
            <w:color w:val="1155CC"/>
            <w:u w:val="single"/>
          </w:rPr>
          <w:t>Four Computational Studies on the Origin of the Book of Mormon</w:t>
        </w:r>
      </w:hyperlink>
      <w:r w:rsidR="00000000">
        <w:t>: Study 4 adds Joseph Smith’s own dictated scripture to the comparison: the Book of Mormon’s nearest stylistic relatives are the pseudo-biblical genre and Joseph’s Doctrine and Covenants and Book of Moses, with Spalding and Rigdon far below.</w:t>
      </w:r>
    </w:p>
    <w:p w14:paraId="7D631074" w14:textId="77777777" w:rsidR="00A32788" w:rsidRDefault="00000000">
      <w:pPr>
        <w:numPr>
          <w:ilvl w:val="0"/>
          <w:numId w:val="3"/>
        </w:numPr>
        <w:pBdr>
          <w:top w:val="nil"/>
          <w:left w:val="nil"/>
          <w:bottom w:val="nil"/>
          <w:right w:val="nil"/>
          <w:between w:val="nil"/>
        </w:pBdr>
        <w:spacing w:after="70"/>
      </w:pPr>
      <w:r>
        <w:rPr>
          <w:b/>
          <w:bCs/>
          <w:color w:val="000000"/>
        </w:rPr>
        <w:t xml:space="preserve">“Authentic ancient names — Alma, Sariah, Nahom — have since turned up in the Old World.” </w:t>
      </w:r>
      <w:r>
        <w:rPr>
          <w:color w:val="000000"/>
        </w:rPr>
        <w:t>— A few names with later parallels do not offset the book’s systematic anachronisms or its dependence on the 1769 King James text. Several have ordinary explanations: “Sariah” is the feminine of the biblical “Seraiah”; “Alma” is a Hebrew and Latin word Joseph could meet (its later discovery as an ancient male name is itself disputed); and “Nahom” maps onto the common Hebrew root n-h-m (“to mourn”), fitting a place the text calls a site of mourning. The parallels are isolated and after-the-fact, and a handful of plausible-sounding names is exactly what a writer imitating biblical style would produce.</w:t>
      </w:r>
    </w:p>
    <w:p w14:paraId="5C7B3257" w14:textId="77777777" w:rsidR="00A32788" w:rsidRDefault="00A32788">
      <w:pPr>
        <w:pBdr>
          <w:bottom w:val="single" w:sz="4" w:space="2" w:color="DDDDDD"/>
        </w:pBdr>
        <w:spacing w:before="60" w:after="60"/>
      </w:pPr>
    </w:p>
    <w:p w14:paraId="7D472BB6" w14:textId="77777777" w:rsidR="00A32788" w:rsidRDefault="00000000">
      <w:pPr>
        <w:pStyle w:val="Heading2"/>
      </w:pPr>
      <w:r>
        <w:t>It quotes the King James Bible rather than Joseph’s own “corrected” translation</w:t>
      </w:r>
    </w:p>
    <w:p w14:paraId="2E64EBD7" w14:textId="77777777" w:rsidR="00A32788" w:rsidRDefault="00000000">
      <w:pPr>
        <w:spacing w:before="20" w:after="90"/>
      </w:pPr>
      <w:r>
        <w:rPr>
          <w:b/>
          <w:bCs/>
          <w:color w:val="7A1F2B"/>
        </w:rPr>
        <w:t xml:space="preserve">Claim.  </w:t>
      </w:r>
      <w:r>
        <w:t>Where the Book of Mormon quotes the New Testament (</w:t>
      </w:r>
      <w:hyperlink r:id="rId63">
        <w:r w:rsidR="00A32788">
          <w:rPr>
            <w:color w:val="1155CC"/>
            <w:u w:val="single"/>
          </w:rPr>
          <w:t>3 Nephi 13:25–27</w:t>
        </w:r>
      </w:hyperlink>
      <w:r>
        <w:t xml:space="preserve"> versus </w:t>
      </w:r>
      <w:hyperlink r:id="rId64">
        <w:r w:rsidR="00A32788">
          <w:rPr>
            <w:color w:val="1155CC"/>
            <w:u w:val="single"/>
          </w:rPr>
          <w:t>Matthew 6:25–27</w:t>
        </w:r>
      </w:hyperlink>
      <w:r>
        <w:t>), it follows the King James wording rather than the “corrected” readings Joseph would later produce in the Joseph Smith Translation. If the JST restores the true text, a divinely translated Book of Mormon should not reproduce the version Joseph regarded as corrupt.</w:t>
      </w:r>
    </w:p>
    <w:p w14:paraId="70B8615B" w14:textId="77777777" w:rsidR="00A32788" w:rsidRDefault="00000000">
      <w:pPr>
        <w:spacing w:before="30" w:after="30"/>
      </w:pPr>
      <w:r>
        <w:rPr>
          <w:b/>
          <w:bCs/>
          <w:color w:val="2E5496"/>
          <w:sz w:val="20"/>
          <w:szCs w:val="20"/>
        </w:rPr>
        <w:t>Substantiation</w:t>
      </w:r>
    </w:p>
    <w:p w14:paraId="6C7BE07C" w14:textId="77777777" w:rsidR="00A32788" w:rsidRDefault="00000000">
      <w:pPr>
        <w:numPr>
          <w:ilvl w:val="0"/>
          <w:numId w:val="3"/>
        </w:numPr>
        <w:pBdr>
          <w:top w:val="nil"/>
          <w:left w:val="nil"/>
          <w:bottom w:val="nil"/>
          <w:right w:val="nil"/>
          <w:between w:val="nil"/>
        </w:pBdr>
        <w:spacing w:after="55"/>
      </w:pPr>
      <w:r>
        <w:rPr>
          <w:b/>
          <w:bCs/>
          <w:color w:val="000000"/>
        </w:rPr>
        <w:t xml:space="preserve">Compare </w:t>
      </w:r>
      <w:r>
        <w:rPr>
          <w:color w:val="000000"/>
        </w:rPr>
        <w:t xml:space="preserve">3 Nephi 13 with Matthew 6 and the </w:t>
      </w:r>
      <w:hyperlink r:id="rId65" w:anchor="p25">
        <w:r w:rsidR="00A32788">
          <w:rPr>
            <w:color w:val="1155CC"/>
            <w:u w:val="single"/>
          </w:rPr>
          <w:t>JST footnotes in the LDS scriptures</w:t>
        </w:r>
      </w:hyperlink>
      <w:r>
        <w:rPr>
          <w:color w:val="000000"/>
        </w:rPr>
        <w:t>.</w:t>
      </w:r>
    </w:p>
    <w:p w14:paraId="675FDBC6" w14:textId="77777777" w:rsidR="00A32788" w:rsidRDefault="00000000">
      <w:pPr>
        <w:spacing w:before="30" w:after="30"/>
      </w:pPr>
      <w:r>
        <w:rPr>
          <w:b/>
          <w:bCs/>
          <w:color w:val="595959"/>
          <w:sz w:val="20"/>
          <w:szCs w:val="20"/>
        </w:rPr>
        <w:t>Counterarguments</w:t>
      </w:r>
    </w:p>
    <w:p w14:paraId="637F15F7" w14:textId="77777777" w:rsidR="00A32788" w:rsidRDefault="00000000">
      <w:pPr>
        <w:numPr>
          <w:ilvl w:val="0"/>
          <w:numId w:val="3"/>
        </w:numPr>
        <w:pBdr>
          <w:top w:val="nil"/>
          <w:left w:val="nil"/>
          <w:bottom w:val="nil"/>
          <w:right w:val="nil"/>
          <w:between w:val="nil"/>
        </w:pBdr>
        <w:spacing w:after="70"/>
      </w:pPr>
      <w:r>
        <w:rPr>
          <w:b/>
          <w:bCs/>
          <w:color w:val="000000"/>
        </w:rPr>
        <w:t xml:space="preserve">“The JST was never finished.” </w:t>
      </w:r>
      <w:r>
        <w:rPr>
          <w:color w:val="000000"/>
        </w:rPr>
        <w:t>— The Book of Mormon still reproduces the uncorrected King James text it elsewhere implies is flawed, rather than the readings Joseph later called correct.</w:t>
      </w:r>
    </w:p>
    <w:p w14:paraId="1D7A992C" w14:textId="77777777" w:rsidR="00A32788" w:rsidRDefault="00A32788">
      <w:pPr>
        <w:pBdr>
          <w:bottom w:val="single" w:sz="4" w:space="2" w:color="DDDDDD"/>
        </w:pBdr>
        <w:spacing w:before="60" w:after="60"/>
      </w:pPr>
    </w:p>
    <w:p w14:paraId="0352EACE" w14:textId="77777777" w:rsidR="00A32788" w:rsidRDefault="00000000">
      <w:pPr>
        <w:pStyle w:val="Heading2"/>
      </w:pPr>
      <w:r>
        <w:t>It quotes Isaiah written after Lehi left Jerusalem</w:t>
      </w:r>
    </w:p>
    <w:p w14:paraId="1F068EB2" w14:textId="77777777" w:rsidR="00A32788" w:rsidRDefault="00000000">
      <w:pPr>
        <w:spacing w:before="20" w:after="90"/>
      </w:pPr>
      <w:r>
        <w:rPr>
          <w:b/>
          <w:bCs/>
          <w:color w:val="7A1F2B"/>
        </w:rPr>
        <w:lastRenderedPageBreak/>
        <w:t xml:space="preserve">Claim.  </w:t>
      </w:r>
      <w:r>
        <w:t>The Book of Mormon quotes passages of Isaiah (</w:t>
      </w:r>
      <w:hyperlink r:id="rId66">
        <w:r w:rsidR="00A32788">
          <w:rPr>
            <w:color w:val="1155CC"/>
            <w:u w:val="single"/>
          </w:rPr>
          <w:t>chapters 40–55</w:t>
        </w:r>
      </w:hyperlink>
      <w:r>
        <w:t xml:space="preserve">, in </w:t>
      </w:r>
      <w:hyperlink r:id="rId67">
        <w:r w:rsidR="00A32788">
          <w:rPr>
            <w:color w:val="1155CC"/>
            <w:u w:val="single"/>
          </w:rPr>
          <w:t>2 Nephi 7–8</w:t>
        </w:r>
      </w:hyperlink>
      <w:r>
        <w:t xml:space="preserve"> and </w:t>
      </w:r>
      <w:hyperlink r:id="rId68">
        <w:r w:rsidR="00A32788">
          <w:rPr>
            <w:color w:val="1155CC"/>
            <w:u w:val="single"/>
          </w:rPr>
          <w:t>Mosiah 14</w:t>
        </w:r>
      </w:hyperlink>
      <w:r>
        <w:t>) that scholars date to c. 540 BCE — after Lehi supposedly left Jerusalem in 600 BCE — so they could not have been on the plates he carried.</w:t>
      </w:r>
    </w:p>
    <w:p w14:paraId="599CFC6F" w14:textId="77777777" w:rsidR="00A32788" w:rsidRDefault="00000000">
      <w:pPr>
        <w:spacing w:before="30" w:after="30"/>
      </w:pPr>
      <w:r>
        <w:rPr>
          <w:b/>
          <w:bCs/>
          <w:color w:val="2E5496"/>
          <w:sz w:val="20"/>
          <w:szCs w:val="20"/>
        </w:rPr>
        <w:t>Substantiation</w:t>
      </w:r>
    </w:p>
    <w:p w14:paraId="768D20E3" w14:textId="77777777" w:rsidR="00A32788" w:rsidRDefault="00000000">
      <w:pPr>
        <w:numPr>
          <w:ilvl w:val="0"/>
          <w:numId w:val="3"/>
        </w:numPr>
        <w:pBdr>
          <w:top w:val="nil"/>
          <w:left w:val="nil"/>
          <w:bottom w:val="nil"/>
          <w:right w:val="nil"/>
          <w:between w:val="nil"/>
        </w:pBdr>
        <w:spacing w:after="55"/>
      </w:pPr>
      <w:r>
        <w:rPr>
          <w:b/>
          <w:bCs/>
          <w:color w:val="000000"/>
        </w:rPr>
        <w:t xml:space="preserve">The dating (outside support). </w:t>
      </w:r>
      <w:r>
        <w:rPr>
          <w:color w:val="000000"/>
        </w:rPr>
        <w:t xml:space="preserve">Chapters 40–55 presuppose the Babylonian exile and even name Cyrus, the Persian king who freed the Jews in 539 BCE, as God’s anointed — a 6th-century figure named as if already known. Critical scholarship (Joseph Blenkinsopp, Isaiah 40–55, Anchor Yale Bible, 2002; Brevard Childs, Isaiah, 2001) dates this material to the exile. </w:t>
      </w:r>
      <w:hyperlink r:id="rId69">
        <w:r w:rsidR="00A32788">
          <w:rPr>
            <w:color w:val="0563C1"/>
            <w:u w:val="single"/>
          </w:rPr>
          <w:t>Isaiah 45</w:t>
        </w:r>
      </w:hyperlink>
      <w:r>
        <w:t xml:space="preserve"> &amp; </w:t>
      </w:r>
      <w:hyperlink r:id="rId70">
        <w:r w:rsidR="00A32788">
          <w:rPr>
            <w:color w:val="0563C1"/>
            <w:u w:val="single"/>
          </w:rPr>
          <w:t>Blenkinsopp, Isaiah 40–55 (Yale University Press)</w:t>
        </w:r>
      </w:hyperlink>
    </w:p>
    <w:p w14:paraId="1F339A41" w14:textId="77777777" w:rsidR="00A32788" w:rsidRDefault="00000000">
      <w:pPr>
        <w:numPr>
          <w:ilvl w:val="0"/>
          <w:numId w:val="3"/>
        </w:numPr>
        <w:pBdr>
          <w:top w:val="nil"/>
          <w:left w:val="nil"/>
          <w:bottom w:val="nil"/>
          <w:right w:val="nil"/>
          <w:between w:val="nil"/>
        </w:pBdr>
        <w:spacing w:after="55"/>
      </w:pPr>
      <w:r>
        <w:rPr>
          <w:b/>
          <w:bCs/>
          <w:color w:val="000000"/>
        </w:rPr>
        <w:t xml:space="preserve">Why this is the problem. </w:t>
      </w:r>
      <w:r>
        <w:rPr>
          <w:color w:val="000000"/>
        </w:rPr>
        <w:t>Isaiah 40–55 names Cyrus (</w:t>
      </w:r>
      <w:hyperlink r:id="rId71">
        <w:r w:rsidR="00A32788">
          <w:rPr>
            <w:color w:val="1155CC"/>
            <w:u w:val="single"/>
          </w:rPr>
          <w:t>Isaiah 44:28</w:t>
        </w:r>
      </w:hyperlink>
      <w:r>
        <w:rPr>
          <w:color w:val="000000"/>
        </w:rPr>
        <w:t xml:space="preserve">; </w:t>
      </w:r>
      <w:hyperlink r:id="rId72">
        <w:r w:rsidR="00A32788">
          <w:rPr>
            <w:color w:val="1155CC"/>
            <w:u w:val="single"/>
          </w:rPr>
          <w:t>45:1</w:t>
        </w:r>
      </w:hyperlink>
      <w:r>
        <w:rPr>
          <w:color w:val="000000"/>
        </w:rPr>
        <w:t>) and speaks from inside the Babylonian exile (after 586 BCE), so scholars date it to about 540 BCE — decades after Lehi’s family supposedly left Jerusalem around 600 BCE carrying the brass plates. Text that did not yet exist could not have been engraved on those plates. Reading it instead as literal prediction only sharpens the difficulty: a prophet naming a Persian king roughly 150 years before his reign is exactly what critical scholarship treats as evidence a passage was written after the fact. Either way, it postdates Lehi.</w:t>
      </w:r>
    </w:p>
    <w:p w14:paraId="19B177C6" w14:textId="77777777" w:rsidR="00A32788" w:rsidRDefault="00000000">
      <w:pPr>
        <w:numPr>
          <w:ilvl w:val="0"/>
          <w:numId w:val="3"/>
        </w:numPr>
        <w:pBdr>
          <w:top w:val="nil"/>
          <w:left w:val="nil"/>
          <w:bottom w:val="nil"/>
          <w:right w:val="nil"/>
          <w:between w:val="nil"/>
        </w:pBdr>
        <w:spacing w:after="55"/>
      </w:pPr>
      <w:r>
        <w:rPr>
          <w:b/>
          <w:bCs/>
          <w:color w:val="000000"/>
        </w:rPr>
        <w:t xml:space="preserve">The scholarship (outside support). </w:t>
      </w:r>
      <w:r>
        <w:rPr>
          <w:color w:val="000000"/>
        </w:rPr>
        <w:t xml:space="preserve">The exilic dating is the mainstream scholarly consensus, not a fringe reading: the Anchor Yale Bible commentary (Joseph Blenkinsopp) states plainly that “Second Isaiah” (chapters 40–55) was written in the sixth century BC by a later, anonymous prophet, not by the eighth-century Isaiah. </w:t>
      </w:r>
      <w:hyperlink r:id="rId73">
        <w:r w:rsidR="00A32788">
          <w:rPr>
            <w:color w:val="0563C1"/>
            <w:u w:val="single"/>
          </w:rPr>
          <w:t>Blenkinsopp, Isaiah 40–55 (Yale University Press)</w:t>
        </w:r>
      </w:hyperlink>
    </w:p>
    <w:p w14:paraId="484C9755" w14:textId="77777777" w:rsidR="00A32788" w:rsidRDefault="00000000">
      <w:pPr>
        <w:numPr>
          <w:ilvl w:val="0"/>
          <w:numId w:val="3"/>
        </w:numPr>
        <w:pBdr>
          <w:top w:val="nil"/>
          <w:left w:val="nil"/>
          <w:bottom w:val="nil"/>
          <w:right w:val="nil"/>
          <w:between w:val="nil"/>
        </w:pBdr>
        <w:spacing w:after="55"/>
      </w:pPr>
      <w:r>
        <w:rPr>
          <w:b/>
          <w:bCs/>
          <w:color w:val="000000"/>
        </w:rPr>
        <w:t xml:space="preserve">Acknowledged within the faith. </w:t>
      </w:r>
      <w:r>
        <w:rPr>
          <w:color w:val="000000"/>
        </w:rPr>
        <w:t xml:space="preserve">The difficulty is serious enough that Latter-day Saint scholars and apologists have published direct responses attempting to reconcile it — which shows it is recognized even inside LDS scholarship, not an anti-Mormon invention. </w:t>
      </w:r>
      <w:hyperlink r:id="rId74">
        <w:r w:rsidR="00A32788">
          <w:rPr>
            <w:color w:val="0563C1"/>
            <w:u w:val="single"/>
          </w:rPr>
          <w:t>LDS response (FAIR): Isaiah and the Book of Mormon</w:t>
        </w:r>
      </w:hyperlink>
    </w:p>
    <w:p w14:paraId="3D567EC2" w14:textId="77777777" w:rsidR="00A32788" w:rsidRDefault="00000000">
      <w:pPr>
        <w:spacing w:before="30" w:after="30"/>
      </w:pPr>
      <w:r>
        <w:rPr>
          <w:b/>
          <w:bCs/>
          <w:color w:val="595959"/>
          <w:sz w:val="20"/>
          <w:szCs w:val="20"/>
        </w:rPr>
        <w:t>Counterarguments</w:t>
      </w:r>
    </w:p>
    <w:p w14:paraId="3A499B03" w14:textId="77777777" w:rsidR="00A32788" w:rsidRDefault="00000000">
      <w:pPr>
        <w:numPr>
          <w:ilvl w:val="0"/>
          <w:numId w:val="3"/>
        </w:numPr>
        <w:pBdr>
          <w:top w:val="nil"/>
          <w:left w:val="nil"/>
          <w:bottom w:val="nil"/>
          <w:right w:val="nil"/>
          <w:between w:val="nil"/>
        </w:pBdr>
        <w:spacing w:after="70"/>
      </w:pPr>
      <w:r>
        <w:rPr>
          <w:b/>
          <w:bCs/>
          <w:color w:val="000000"/>
        </w:rPr>
        <w:t xml:space="preserve">“The dating is just a theory, and revelation can anticipate later text.” </w:t>
      </w:r>
      <w:r>
        <w:rPr>
          <w:color w:val="000000"/>
        </w:rPr>
        <w:t xml:space="preserve">— </w:t>
      </w:r>
      <w:r>
        <w:t>The book does not merely echo later Isaiah’s themes; it quotes the text in King James English, and with the fidelity of copying rather than the freedom of translation — where it reproduces Bible chapters it matches the 1769 King James wording about 93% verbatim (Study 2, above), down to the translators’ italicized insertions. Revelation of future content does not explain reproducing one printed English edition word for word.</w:t>
      </w:r>
    </w:p>
    <w:p w14:paraId="34CCA752" w14:textId="77777777" w:rsidR="00A32788" w:rsidRDefault="00000000">
      <w:pPr>
        <w:numPr>
          <w:ilvl w:val="0"/>
          <w:numId w:val="3"/>
        </w:numPr>
        <w:pBdr>
          <w:top w:val="nil"/>
          <w:left w:val="nil"/>
          <w:bottom w:val="nil"/>
          <w:right w:val="nil"/>
          <w:between w:val="nil"/>
        </w:pBdr>
        <w:spacing w:after="70"/>
      </w:pPr>
      <w:r>
        <w:rPr>
          <w:b/>
          <w:bCs/>
          <w:color w:val="000000"/>
        </w:rPr>
        <w:t xml:space="preserve">“Some scholars still defend a single author for the whole of Isaiah.” </w:t>
      </w:r>
      <w:r>
        <w:rPr>
          <w:color w:val="000000"/>
        </w:rPr>
        <w:t>— A minority do, but the exilic setting and the naming of Cyrus remain a problem on any reading. And the deeper issue is untouched by the authorship debate: the Book of Mormon quotes these chapters in 1769 King James English, which neither single nor multiple authorship explains.</w:t>
      </w:r>
    </w:p>
    <w:p w14:paraId="2A3BB77A" w14:textId="77777777" w:rsidR="00A32788" w:rsidRDefault="00A32788">
      <w:pPr>
        <w:pBdr>
          <w:bottom w:val="single" w:sz="4" w:space="2" w:color="DDDDDD"/>
        </w:pBdr>
        <w:spacing w:before="60" w:after="60"/>
      </w:pPr>
    </w:p>
    <w:p w14:paraId="4FFA901F" w14:textId="77777777" w:rsidR="00A32788" w:rsidRDefault="00000000">
      <w:pPr>
        <w:pStyle w:val="Heading2"/>
      </w:pPr>
      <w:r>
        <w:t>Its anachronisms reflect a 19th-century author</w:t>
      </w:r>
    </w:p>
    <w:p w14:paraId="5A77D611" w14:textId="77777777" w:rsidR="00A32788" w:rsidRDefault="00000000">
      <w:pPr>
        <w:spacing w:before="20" w:after="90"/>
      </w:pPr>
      <w:r>
        <w:rPr>
          <w:b/>
          <w:bCs/>
          <w:color w:val="7A1F2B"/>
        </w:rPr>
        <w:t xml:space="preserve">Claim.  </w:t>
      </w:r>
      <w:r>
        <w:t>Horses, steel swords, chariots, wheat, silk, and elephants appear in a pre-Columbian America that had none of them, and no artifact has ever confirmed the civilizations described. The book reflects its author’s assumptions, not an ancient world.</w:t>
      </w:r>
    </w:p>
    <w:p w14:paraId="425C3E17" w14:textId="77777777" w:rsidR="00A32788" w:rsidRDefault="00000000">
      <w:pPr>
        <w:spacing w:before="30" w:after="30"/>
      </w:pPr>
      <w:r>
        <w:rPr>
          <w:b/>
          <w:bCs/>
          <w:color w:val="2E5496"/>
          <w:sz w:val="20"/>
          <w:szCs w:val="20"/>
        </w:rPr>
        <w:t>Substantiation</w:t>
      </w:r>
    </w:p>
    <w:p w14:paraId="67C6D21E" w14:textId="77777777" w:rsidR="00A32788" w:rsidRDefault="00000000">
      <w:pPr>
        <w:numPr>
          <w:ilvl w:val="0"/>
          <w:numId w:val="3"/>
        </w:numPr>
        <w:pBdr>
          <w:top w:val="nil"/>
          <w:left w:val="nil"/>
          <w:bottom w:val="nil"/>
          <w:right w:val="nil"/>
          <w:between w:val="nil"/>
        </w:pBdr>
        <w:spacing w:after="55"/>
      </w:pPr>
      <w:r>
        <w:rPr>
          <w:b/>
          <w:bCs/>
          <w:color w:val="000000"/>
        </w:rPr>
        <w:t xml:space="preserve">The Church </w:t>
      </w:r>
      <w:r>
        <w:rPr>
          <w:color w:val="000000"/>
        </w:rPr>
        <w:t xml:space="preserve">takes no official position on Book of Mormon geography; the only “findings” offered come from Latter-day Saint sources, not independent archaeology. </w:t>
      </w:r>
      <w:hyperlink r:id="rId75">
        <w:r w:rsidR="00A32788">
          <w:rPr>
            <w:color w:val="0563C1"/>
            <w:u w:val="single"/>
          </w:rPr>
          <w:t>Book of Mormon Geography</w:t>
        </w:r>
      </w:hyperlink>
    </w:p>
    <w:p w14:paraId="5177B9F7" w14:textId="77777777" w:rsidR="00A32788" w:rsidRDefault="00000000">
      <w:pPr>
        <w:numPr>
          <w:ilvl w:val="0"/>
          <w:numId w:val="3"/>
        </w:numPr>
        <w:pBdr>
          <w:top w:val="nil"/>
          <w:left w:val="nil"/>
          <w:bottom w:val="nil"/>
          <w:right w:val="nil"/>
          <w:between w:val="nil"/>
        </w:pBdr>
        <w:spacing w:after="55"/>
      </w:pPr>
      <w:r>
        <w:rPr>
          <w:b/>
          <w:bCs/>
          <w:color w:val="000000"/>
        </w:rPr>
        <w:t xml:space="preserve">A non-LDS expert’s verdict (outside support). </w:t>
      </w:r>
      <w:r>
        <w:rPr>
          <w:color w:val="000000"/>
        </w:rPr>
        <w:t>Michael Coe, the eminent (non-Mormon) Yale Mesoamerican archaeologist, wrote that “nothing, absolutely nothing” in any New World excavation supports the Book of Mormon as history (</w:t>
      </w:r>
      <w:hyperlink r:id="rId76">
        <w:r w:rsidR="00A32788">
          <w:rPr>
            <w:color w:val="1155CC"/>
            <w:u w:val="single"/>
          </w:rPr>
          <w:t>Dialogue, 1973</w:t>
        </w:r>
      </w:hyperlink>
      <w:r>
        <w:rPr>
          <w:color w:val="000000"/>
        </w:rPr>
        <w:t xml:space="preserve">), and reaffirmed this in 2007 and 2011. </w:t>
      </w:r>
      <w:hyperlink r:id="rId77">
        <w:r w:rsidR="00A32788">
          <w:rPr>
            <w:color w:val="0563C1"/>
            <w:u w:val="single"/>
          </w:rPr>
          <w:t>Coe interview (PBS)</w:t>
        </w:r>
      </w:hyperlink>
    </w:p>
    <w:p w14:paraId="7926163D" w14:textId="77777777" w:rsidR="00A32788" w:rsidRDefault="00000000">
      <w:pPr>
        <w:spacing w:before="30" w:after="30"/>
      </w:pPr>
      <w:r>
        <w:rPr>
          <w:b/>
          <w:bCs/>
          <w:color w:val="595959"/>
          <w:sz w:val="20"/>
          <w:szCs w:val="20"/>
        </w:rPr>
        <w:t>Counterarguments</w:t>
      </w:r>
    </w:p>
    <w:p w14:paraId="45301660" w14:textId="77777777" w:rsidR="00A32788" w:rsidRDefault="00000000">
      <w:pPr>
        <w:numPr>
          <w:ilvl w:val="0"/>
          <w:numId w:val="3"/>
        </w:numPr>
        <w:pBdr>
          <w:top w:val="nil"/>
          <w:left w:val="nil"/>
          <w:bottom w:val="nil"/>
          <w:right w:val="nil"/>
          <w:between w:val="nil"/>
        </w:pBdr>
        <w:spacing w:after="70"/>
      </w:pPr>
      <w:r>
        <w:rPr>
          <w:b/>
          <w:bCs/>
          <w:color w:val="000000"/>
        </w:rPr>
        <w:lastRenderedPageBreak/>
        <w:t xml:space="preserve">“‘Horse’ may be a loan-word, and absence of evidence isn’t evidence of absence.” </w:t>
      </w:r>
      <w:r>
        <w:rPr>
          <w:color w:val="000000"/>
        </w:rPr>
        <w:t>— The explanation must cover steel, chariots, wheat, and silk at once and cannot be disproven. For a literate, metal-working, city-building people, the total absence of artifacts — and of any agreed location — contrasts sharply with biblical archaeology.</w:t>
      </w:r>
    </w:p>
    <w:p w14:paraId="60D73039" w14:textId="77777777" w:rsidR="00A32788" w:rsidRDefault="00000000">
      <w:pPr>
        <w:numPr>
          <w:ilvl w:val="0"/>
          <w:numId w:val="3"/>
        </w:numPr>
        <w:pBdr>
          <w:top w:val="nil"/>
          <w:left w:val="nil"/>
          <w:bottom w:val="nil"/>
          <w:right w:val="nil"/>
          <w:between w:val="nil"/>
        </w:pBdr>
        <w:spacing w:after="70"/>
      </w:pPr>
      <w:r>
        <w:rPr>
          <w:b/>
          <w:bCs/>
          <w:color w:val="000000"/>
        </w:rPr>
        <w:t>“</w:t>
      </w:r>
      <w:r>
        <w:rPr>
          <w:b/>
          <w:bCs/>
        </w:rPr>
        <w:t>An altar in Yemen inscribed 'NHM' — matching the Book of Mormon's 'Nahom,' where Ishmael was buried (</w:t>
      </w:r>
      <w:hyperlink r:id="rId78">
        <w:r w:rsidR="00A32788">
          <w:rPr>
            <w:b/>
            <w:bCs/>
            <w:color w:val="1155CC"/>
            <w:u w:val="single"/>
          </w:rPr>
          <w:t>1 Nephi 16:34</w:t>
        </w:r>
      </w:hyperlink>
      <w:r>
        <w:rPr>
          <w:b/>
          <w:bCs/>
        </w:rPr>
        <w:t xml:space="preserve">) — is a direct archaeological hit Joseph could not have faked." </w:t>
      </w:r>
      <w:r>
        <w:t xml:space="preserve">— This is the apologists' single strongest artifact, so it's worth meeting head-on rather than avoiding. Three problems drain it. First, the name was available in Joseph's own day: a form of it (Nehhm/Nehem) appears on European maps of Arabia from the mid-1700s onward — including Carsten Niebuhr's widely circulated expedition account, translated into English in 1792 and held in American libraries — so "he couldn't have known it" is simply false. Second, the altar attests a </w:t>
      </w:r>
      <w:r>
        <w:rPr>
          <w:i/>
          <w:iCs/>
        </w:rPr>
        <w:t>tribal</w:t>
      </w:r>
      <w:r>
        <w:t xml:space="preserve"> name (Nihm), not a place called Nahom; no site actually named Nahom has ever been found, so the "match" is a chain of inference (tribe → region → the exact burial spot), not a discovery. Third, and most important, even granting a hit it proves the wrong thing: the Book of Mormon's Arabian leg runs through </w:t>
      </w:r>
      <w:r>
        <w:rPr>
          <w:i/>
          <w:iCs/>
        </w:rPr>
        <w:t>real Arabia</w:t>
      </w:r>
      <w:r>
        <w:t xml:space="preserve">, so a plausible Old-World place-name there says nothing about the New-World story that is the actual claim — a narrative for which there remains no archaeological, linguistic, or genetic support of any kind. One lucky name in Yemen is not a Nephite civilization in the Americas. (The companion "Bountiful" site on the Arabian coast rests on the same reasoning and meets the same reply.) </w:t>
      </w:r>
      <w:hyperlink r:id="rId79">
        <w:r w:rsidR="00A32788">
          <w:rPr>
            <w:color w:val="1155CC"/>
            <w:u w:val="single"/>
          </w:rPr>
          <w:t>The Nahom Follies</w:t>
        </w:r>
      </w:hyperlink>
    </w:p>
    <w:p w14:paraId="3A61E242" w14:textId="77777777" w:rsidR="00A32788" w:rsidRDefault="00000000">
      <w:pPr>
        <w:numPr>
          <w:ilvl w:val="0"/>
          <w:numId w:val="3"/>
        </w:numPr>
        <w:pBdr>
          <w:top w:val="nil"/>
          <w:left w:val="nil"/>
          <w:bottom w:val="nil"/>
          <w:right w:val="nil"/>
          <w:between w:val="nil"/>
        </w:pBdr>
        <w:spacing w:after="70"/>
      </w:pPr>
      <w:r>
        <w:rPr>
          <w:b/>
          <w:bCs/>
          <w:color w:val="000000"/>
        </w:rPr>
        <w:t xml:space="preserve">“Pre-Columbian barley, and even possible horse remains, have since been found.” </w:t>
      </w:r>
      <w:r>
        <w:rPr>
          <w:color w:val="000000"/>
        </w:rPr>
        <w:t>— The barley found in ancient North America is a native wild species (‘little barley’), not the domesticated Old World barley the text implies, and there are no confirmed domesticated-horse remains for the Book of Mormon period — horses had been extinct in the Americas for millennia and were reintroduced by the Spanish. Neither touches the steel swords, chariots, wheels, or silk, or the absence of any identifiable Nephite city.</w:t>
      </w:r>
    </w:p>
    <w:p w14:paraId="5831D8DD" w14:textId="77777777" w:rsidR="00A32788" w:rsidRDefault="00000000">
      <w:pPr>
        <w:numPr>
          <w:ilvl w:val="0"/>
          <w:numId w:val="3"/>
        </w:numPr>
        <w:pBdr>
          <w:top w:val="nil"/>
          <w:left w:val="nil"/>
          <w:bottom w:val="nil"/>
          <w:right w:val="nil"/>
          <w:between w:val="nil"/>
        </w:pBdr>
        <w:spacing w:after="70"/>
      </w:pPr>
      <w:r>
        <w:rPr>
          <w:b/>
          <w:bCs/>
          <w:color w:val="000000"/>
        </w:rPr>
        <w:t xml:space="preserve">“It records only a small group, so we should not expect to find them archaeologically.” </w:t>
      </w:r>
      <w:r>
        <w:rPr>
          <w:color w:val="000000"/>
        </w:rPr>
        <w:t xml:space="preserve">— The book describes large populations, fortified cities, monetary weights, and battles leaving hundreds of thousands dead — not a small, invisible band. Societies on that scale leave remains; the contemporaneous Maya did. </w:t>
      </w:r>
      <w:hyperlink r:id="rId80">
        <w:r w:rsidR="00A32788">
          <w:rPr>
            <w:color w:val="0563C1"/>
            <w:u w:val="single"/>
          </w:rPr>
          <w:t>Mormon 6</w:t>
        </w:r>
      </w:hyperlink>
    </w:p>
    <w:p w14:paraId="0B597CCA" w14:textId="77777777" w:rsidR="00A32788" w:rsidRDefault="00A32788">
      <w:pPr>
        <w:pBdr>
          <w:bottom w:val="single" w:sz="4" w:space="2" w:color="DDDDDD"/>
        </w:pBdr>
        <w:spacing w:before="60" w:after="60"/>
      </w:pPr>
    </w:p>
    <w:p w14:paraId="03151772" w14:textId="77777777" w:rsidR="00A32788" w:rsidRDefault="00000000">
      <w:pPr>
        <w:pStyle w:val="Heading2"/>
      </w:pPr>
      <w:r>
        <w:t>DNA, and the change from “principal ancestors” to “among the ancestors”</w:t>
      </w:r>
    </w:p>
    <w:p w14:paraId="5B311D85" w14:textId="77777777" w:rsidR="00A32788" w:rsidRDefault="00000000">
      <w:pPr>
        <w:spacing w:before="20" w:after="90"/>
      </w:pPr>
      <w:r>
        <w:rPr>
          <w:b/>
          <w:bCs/>
          <w:color w:val="7A1F2B"/>
        </w:rPr>
        <w:t xml:space="preserve">Claim.  </w:t>
      </w:r>
      <w:r>
        <w:t>The Book of Mormon’s central premise is that Native Americans descend from Israelite migrants. DNA shows they descend from East Asians, with no Middle Eastern markers — and after that evidence emerged, the Church quietly changed the book’s own introduction from “the principal ancestors of the American Indians” to “among the ancestors.” The wording tracks the science, not revelation.</w:t>
      </w:r>
    </w:p>
    <w:p w14:paraId="06465E80" w14:textId="77777777" w:rsidR="00A32788" w:rsidRDefault="00000000">
      <w:pPr>
        <w:spacing w:before="30" w:after="30"/>
      </w:pPr>
      <w:r>
        <w:rPr>
          <w:b/>
          <w:bCs/>
          <w:color w:val="2E5496"/>
          <w:sz w:val="20"/>
          <w:szCs w:val="20"/>
        </w:rPr>
        <w:t>Substantiation</w:t>
      </w:r>
    </w:p>
    <w:p w14:paraId="54A3FD2F" w14:textId="77777777" w:rsidR="00A32788" w:rsidRDefault="00000000">
      <w:pPr>
        <w:numPr>
          <w:ilvl w:val="0"/>
          <w:numId w:val="3"/>
        </w:numPr>
        <w:pBdr>
          <w:top w:val="nil"/>
          <w:left w:val="nil"/>
          <w:bottom w:val="nil"/>
          <w:right w:val="nil"/>
          <w:between w:val="nil"/>
        </w:pBdr>
        <w:spacing w:after="55"/>
      </w:pPr>
      <w:r>
        <w:rPr>
          <w:b/>
          <w:bCs/>
          <w:color w:val="000000"/>
        </w:rPr>
        <w:t xml:space="preserve">The Church concedes the genetics. </w:t>
      </w:r>
      <w:r>
        <w:rPr>
          <w:color w:val="000000"/>
        </w:rPr>
        <w:t xml:space="preserve">The Gospel Topics essay acknowledges DNA has not linked Native Americans to the Near East, and explains this through founder effect, genetic drift, and a limited-geography reading. </w:t>
      </w:r>
      <w:hyperlink r:id="rId81">
        <w:r w:rsidR="00A32788">
          <w:rPr>
            <w:color w:val="0563C1"/>
            <w:u w:val="single"/>
          </w:rPr>
          <w:t>Book of Mormon and DNA Studies</w:t>
        </w:r>
      </w:hyperlink>
    </w:p>
    <w:p w14:paraId="3234E61E" w14:textId="77777777" w:rsidR="00A32788" w:rsidRDefault="00000000">
      <w:pPr>
        <w:numPr>
          <w:ilvl w:val="0"/>
          <w:numId w:val="3"/>
        </w:numPr>
        <w:pBdr>
          <w:top w:val="nil"/>
          <w:left w:val="nil"/>
          <w:bottom w:val="nil"/>
          <w:right w:val="nil"/>
          <w:between w:val="nil"/>
        </w:pBdr>
        <w:spacing w:after="55"/>
      </w:pPr>
      <w:r>
        <w:rPr>
          <w:b/>
          <w:bCs/>
          <w:color w:val="000000"/>
        </w:rPr>
        <w:t xml:space="preserve">The wording was changed. </w:t>
      </w:r>
      <w:r>
        <w:rPr>
          <w:color w:val="000000"/>
        </w:rPr>
        <w:t xml:space="preserve">The 1981 introduction read “the principal ancestors of the American Indians”; the 2006 edition reads “among the ancestors,” reported by the Church-owned Deseret News. </w:t>
      </w:r>
      <w:hyperlink r:id="rId82">
        <w:r w:rsidR="00A32788">
          <w:rPr>
            <w:color w:val="0563C1"/>
            <w:u w:val="single"/>
          </w:rPr>
          <w:t>Deseret News, 2007</w:t>
        </w:r>
      </w:hyperlink>
    </w:p>
    <w:p w14:paraId="326CD1E9" w14:textId="77777777" w:rsidR="00A32788" w:rsidRDefault="00000000">
      <w:pPr>
        <w:numPr>
          <w:ilvl w:val="0"/>
          <w:numId w:val="3"/>
        </w:numPr>
        <w:pBdr>
          <w:top w:val="nil"/>
          <w:left w:val="nil"/>
          <w:bottom w:val="nil"/>
          <w:right w:val="nil"/>
          <w:between w:val="nil"/>
        </w:pBdr>
        <w:spacing w:after="55"/>
      </w:pPr>
      <w:r>
        <w:rPr>
          <w:b/>
          <w:bCs/>
          <w:color w:val="000000"/>
        </w:rPr>
        <w:t xml:space="preserve">Prophets approved the original. </w:t>
      </w:r>
      <w:r>
        <w:rPr>
          <w:color w:val="000000"/>
        </w:rPr>
        <w:t>Bruce R. McConkie drafted the 1981 introduction, which was approved by the First Presidency and the Quorum of the Twelve. If they are prophets, seers, and revelators, they either did not know the statement was false or knew and changed it only under scientific pressure.</w:t>
      </w:r>
    </w:p>
    <w:p w14:paraId="13BD964A" w14:textId="77777777" w:rsidR="00A32788" w:rsidRDefault="00000000">
      <w:pPr>
        <w:numPr>
          <w:ilvl w:val="0"/>
          <w:numId w:val="3"/>
        </w:numPr>
        <w:pBdr>
          <w:top w:val="nil"/>
          <w:left w:val="nil"/>
          <w:bottom w:val="nil"/>
          <w:right w:val="nil"/>
          <w:between w:val="nil"/>
        </w:pBdr>
        <w:spacing w:after="55"/>
      </w:pPr>
      <w:r>
        <w:rPr>
          <w:b/>
          <w:bCs/>
          <w:color w:val="000000"/>
        </w:rPr>
        <w:t xml:space="preserve">A geneticist’s assessment (outside support). </w:t>
      </w:r>
      <w:r>
        <w:rPr>
          <w:color w:val="000000"/>
        </w:rPr>
        <w:t xml:space="preserve">Simon Southerton, a molecular geneticist and former bishop, documents in Losing a Lost Tribe (2004) that Native American lineages are overwhelmingly East Asian, with no pre-Columbian Middle Eastern DNA. </w:t>
      </w:r>
      <w:hyperlink r:id="rId83">
        <w:r w:rsidR="00A32788">
          <w:rPr>
            <w:color w:val="0563C1"/>
            <w:u w:val="single"/>
          </w:rPr>
          <w:t>Southerton, Losing a Lost Tribe (Signature Books)</w:t>
        </w:r>
      </w:hyperlink>
    </w:p>
    <w:p w14:paraId="6B3B42A9" w14:textId="77777777" w:rsidR="00A32788" w:rsidRDefault="00000000">
      <w:pPr>
        <w:spacing w:before="40" w:after="30"/>
        <w:ind w:left="200"/>
      </w:pPr>
      <w:r>
        <w:rPr>
          <w:b/>
          <w:bCs/>
          <w:color w:val="0F6E64"/>
        </w:rPr>
        <w:lastRenderedPageBreak/>
        <w:t xml:space="preserve">Before. </w:t>
      </w:r>
      <w:r>
        <w:t>The 1981 introduction — approved by the First Presidency and the Twelve — called the Lamanites “the principal ancestors of the American Indians.”</w:t>
      </w:r>
    </w:p>
    <w:p w14:paraId="5B794CEC" w14:textId="77777777" w:rsidR="00A32788" w:rsidRDefault="00000000">
      <w:pPr>
        <w:spacing w:after="120"/>
        <w:ind w:left="200"/>
      </w:pPr>
      <w:r>
        <w:rPr>
          <w:b/>
          <w:bCs/>
          <w:color w:val="0F6E64"/>
        </w:rPr>
        <w:t xml:space="preserve">Now. </w:t>
      </w:r>
      <w:r>
        <w:t>After DNA evidence emerged, the 2006 edition was changed to “among the ancestors,” and the Lehite group is now described as a small population whose genetic trace may be undetectable.</w:t>
      </w:r>
    </w:p>
    <w:p w14:paraId="5788D991" w14:textId="77777777" w:rsidR="00A32788" w:rsidRDefault="00000000">
      <w:pPr>
        <w:spacing w:before="30" w:after="30"/>
      </w:pPr>
      <w:r>
        <w:rPr>
          <w:b/>
          <w:bCs/>
          <w:color w:val="595959"/>
          <w:sz w:val="20"/>
          <w:szCs w:val="20"/>
        </w:rPr>
        <w:t>Counterarguments</w:t>
      </w:r>
    </w:p>
    <w:p w14:paraId="380F75BB" w14:textId="77777777" w:rsidR="00A32788" w:rsidRDefault="00000000">
      <w:pPr>
        <w:numPr>
          <w:ilvl w:val="0"/>
          <w:numId w:val="3"/>
        </w:numPr>
        <w:pBdr>
          <w:top w:val="nil"/>
          <w:left w:val="nil"/>
          <w:bottom w:val="nil"/>
          <w:right w:val="nil"/>
          <w:between w:val="nil"/>
        </w:pBdr>
        <w:spacing w:after="70"/>
      </w:pPr>
      <w:r>
        <w:rPr>
          <w:b/>
          <w:bCs/>
          <w:color w:val="000000"/>
        </w:rPr>
        <w:t xml:space="preserve">“A small founding group’s DNA could be swamped by genetic drift and lost.” </w:t>
      </w:r>
      <w:r>
        <w:rPr>
          <w:color w:val="000000"/>
        </w:rPr>
        <w:t>— That defense was developed after the results, and it does not explain the complete absence of any Near Eastern lineage — only its dilution. The one-word change from “principal” to “among” is itself the admission.</w:t>
      </w:r>
    </w:p>
    <w:p w14:paraId="4424498B" w14:textId="77777777" w:rsidR="00A32788" w:rsidRDefault="00000000">
      <w:pPr>
        <w:numPr>
          <w:ilvl w:val="0"/>
          <w:numId w:val="3"/>
        </w:numPr>
        <w:pBdr>
          <w:top w:val="nil"/>
          <w:left w:val="nil"/>
          <w:bottom w:val="nil"/>
          <w:right w:val="nil"/>
          <w:between w:val="nil"/>
        </w:pBdr>
        <w:spacing w:after="70"/>
      </w:pPr>
      <w:r>
        <w:rPr>
          <w:b/>
          <w:bCs/>
          <w:color w:val="000000"/>
        </w:rPr>
        <w:t xml:space="preserve">“The Book of Mormon never claimed they were the only ancestors.” </w:t>
      </w:r>
      <w:r>
        <w:rPr>
          <w:color w:val="000000"/>
        </w:rPr>
        <w:t>— The 1981 introduction said “principal,” and prophets taught literal Lamanite descent for generations — which is precisely why the wording had to be revised.</w:t>
      </w:r>
    </w:p>
    <w:p w14:paraId="3F2645B1" w14:textId="77777777" w:rsidR="00A32788" w:rsidRDefault="00A32788">
      <w:pPr>
        <w:pBdr>
          <w:bottom w:val="single" w:sz="4" w:space="2" w:color="DDDDDD"/>
        </w:pBdr>
        <w:spacing w:before="60" w:after="60"/>
      </w:pPr>
    </w:p>
    <w:p w14:paraId="3A4C7C3B" w14:textId="77777777" w:rsidR="00A32788" w:rsidRDefault="00000000">
      <w:pPr>
        <w:pStyle w:val="Heading2"/>
      </w:pPr>
      <w:r>
        <w:t>Its language and themes echo other 19th-century books</w:t>
      </w:r>
    </w:p>
    <w:p w14:paraId="2346B09D" w14:textId="77777777" w:rsidR="00A32788" w:rsidRDefault="00000000">
      <w:pPr>
        <w:spacing w:before="20" w:after="90"/>
      </w:pPr>
      <w:r>
        <w:rPr>
          <w:b/>
          <w:bCs/>
          <w:color w:val="7A1F2B"/>
        </w:rPr>
        <w:t xml:space="preserve">Claim.  </w:t>
      </w:r>
      <w:r>
        <w:t>The Book of Mormon’s phrasing and themes track books available in Joseph Smith’s environment — most notably The Late War (1816) and View of the Hebrews (1823) — pointing to a 19th-century origin rather than an ancient one.</w:t>
      </w:r>
    </w:p>
    <w:p w14:paraId="69F22DF5" w14:textId="77777777" w:rsidR="00A32788" w:rsidRDefault="00000000">
      <w:pPr>
        <w:spacing w:before="30" w:after="30"/>
      </w:pPr>
      <w:r>
        <w:rPr>
          <w:b/>
          <w:bCs/>
          <w:color w:val="2E5496"/>
          <w:sz w:val="20"/>
          <w:szCs w:val="20"/>
        </w:rPr>
        <w:t>Substantiation</w:t>
      </w:r>
    </w:p>
    <w:p w14:paraId="0AD9EF51" w14:textId="77777777" w:rsidR="00A32788" w:rsidRDefault="00000000">
      <w:pPr>
        <w:numPr>
          <w:ilvl w:val="0"/>
          <w:numId w:val="3"/>
        </w:numPr>
        <w:pBdr>
          <w:top w:val="nil"/>
          <w:left w:val="nil"/>
          <w:bottom w:val="nil"/>
          <w:right w:val="nil"/>
          <w:between w:val="nil"/>
        </w:pBdr>
        <w:spacing w:after="55"/>
      </w:pPr>
      <w:r>
        <w:rPr>
          <w:b/>
          <w:bCs/>
        </w:rPr>
        <w:t xml:space="preserve">The Late War (the specifics). </w:t>
      </w:r>
      <w:r>
        <w:t xml:space="preserve">Gilbert Hunt’s The Late War (1816) retold the War of 1812 in deliberate King James style — chapters, verses, and “and it came to pass.” A 2013 computational study (the WordTree Foundation) reported more than 100 rare shared phrases, and a 2026 reanalysis confirmed the raw figure (235 exclusive five-word phrases) — but that reanalysis also showed the count mostly reflects shared genre rather than direct copying, since an unrelated King-James-style book of the same era shares phrases with the Book of Mormon at the same rate. The weight therefore falls on the specific, distinctive content the two books share: bands of robbers, a “title of liberty,” two thousand “stripling” soldiers (compare Helaman’s 2,000 stripling warriors), curious weapons, martyrs, Christopher Columbus, and a river battle whose waters run red with the blood of the slain (compare the bodies cast into the river Sidon, </w:t>
      </w:r>
      <w:hyperlink r:id="rId84">
        <w:r w:rsidR="00A32788">
          <w:rPr>
            <w:color w:val="1155CC"/>
            <w:u w:val="single"/>
          </w:rPr>
          <w:t>Alma 43–44</w:t>
        </w:r>
      </w:hyperlink>
      <w:r>
        <w:t xml:space="preserve">) — and on the broader fact that pseudo-biblical narrative was a living genre in Joseph’s world. </w:t>
      </w:r>
      <w:hyperlink r:id="rId85">
        <w:r w:rsidR="00A32788">
          <w:rPr>
            <w:color w:val="0563C1"/>
            <w:u w:val="single"/>
          </w:rPr>
          <w:t>The Late War comparison (WordTree)</w:t>
        </w:r>
      </w:hyperlink>
    </w:p>
    <w:p w14:paraId="65BEABB3" w14:textId="77777777" w:rsidR="00A32788" w:rsidRDefault="00A32788">
      <w:pPr>
        <w:spacing w:before="80" w:after="150"/>
        <w:ind w:left="200"/>
      </w:pPr>
      <w:hyperlink r:id="rId86">
        <w:r>
          <w:rPr>
            <w:b/>
            <w:bCs/>
            <w:color w:val="1155CC"/>
            <w:u w:val="single"/>
          </w:rPr>
          <w:t xml:space="preserve">▶ Companion document — </w:t>
        </w:r>
      </w:hyperlink>
      <w:hyperlink r:id="rId87">
        <w:r>
          <w:rPr>
            <w:b/>
            <w:bCs/>
            <w:i/>
            <w:iCs/>
            <w:color w:val="1155CC"/>
            <w:u w:val="single"/>
          </w:rPr>
          <w:t>The Book of Mormon and The Late War</w:t>
        </w:r>
      </w:hyperlink>
      <w:r w:rsidR="00000000">
        <w:t>: the full catalog of the 100+ rare shared phrases (for example “and it came to pass that they gathered together,” “the borders of the land of,” “there were many slain on both,” “curious workmanship,” “title of liberty”) and 30 documented side-by-side parallels.</w:t>
      </w:r>
    </w:p>
    <w:p w14:paraId="5ECDD17C" w14:textId="77777777" w:rsidR="00A32788" w:rsidRDefault="00A32788">
      <w:pPr>
        <w:spacing w:before="80" w:after="160"/>
        <w:ind w:left="200"/>
      </w:pPr>
      <w:hyperlink r:id="rId88">
        <w:r>
          <w:rPr>
            <w:b/>
            <w:bCs/>
            <w:color w:val="1155CC"/>
            <w:u w:val="single"/>
          </w:rPr>
          <w:t xml:space="preserve">▶ Companion document — </w:t>
        </w:r>
      </w:hyperlink>
      <w:hyperlink r:id="rId89">
        <w:r>
          <w:rPr>
            <w:b/>
            <w:bCs/>
            <w:i/>
            <w:iCs/>
            <w:color w:val="1155CC"/>
            <w:u w:val="single"/>
          </w:rPr>
          <w:t>Four Computational Studies on the Origin of the Book of Mormon</w:t>
        </w:r>
      </w:hyperlink>
      <w:r w:rsidR="00000000">
        <w:t>: Study 1 tests the phrase-count against an unconnected King-James-style control and shows the shared-phrase rate reflects the pseudo-biblical genre, not copying — so the specific content parallels, not the raw counts, carry the weight.</w:t>
      </w:r>
    </w:p>
    <w:p w14:paraId="18EA6BA0" w14:textId="77777777" w:rsidR="00A32788" w:rsidRDefault="00000000">
      <w:pPr>
        <w:numPr>
          <w:ilvl w:val="0"/>
          <w:numId w:val="3"/>
        </w:numPr>
        <w:pBdr>
          <w:top w:val="nil"/>
          <w:left w:val="nil"/>
          <w:bottom w:val="nil"/>
          <w:right w:val="nil"/>
          <w:between w:val="nil"/>
        </w:pBdr>
        <w:spacing w:after="55"/>
      </w:pPr>
      <w:r>
        <w:rPr>
          <w:b/>
          <w:bCs/>
          <w:color w:val="000000"/>
        </w:rPr>
        <w:t xml:space="preserve">View of the Hebrews </w:t>
      </w:r>
      <w:r>
        <w:rPr>
          <w:color w:val="000000"/>
        </w:rPr>
        <w:t>(Ethan Smith, 1823) advances the Hebrew-origin-of-Native-Americans thesis and shares phrases like “Great Spirit” and “destroying angel.” A Latter-day Saint apostle, B. H. Roberts, catalogued the parallels at length in “Studies of the Book of Mormon.”</w:t>
      </w:r>
    </w:p>
    <w:p w14:paraId="742F89FA" w14:textId="77777777" w:rsidR="00A32788" w:rsidRDefault="00000000">
      <w:pPr>
        <w:numPr>
          <w:ilvl w:val="0"/>
          <w:numId w:val="3"/>
        </w:numPr>
        <w:pBdr>
          <w:top w:val="nil"/>
          <w:left w:val="nil"/>
          <w:bottom w:val="nil"/>
          <w:right w:val="nil"/>
          <w:between w:val="nil"/>
        </w:pBdr>
        <w:spacing w:after="55"/>
      </w:pPr>
      <w:r>
        <w:rPr>
          <w:b/>
          <w:bCs/>
          <w:color w:val="000000"/>
        </w:rPr>
        <w:t xml:space="preserve">The Cowdery connection. </w:t>
      </w:r>
      <w:r>
        <w:rPr>
          <w:color w:val="000000"/>
        </w:rPr>
        <w:t xml:space="preserve">Ethan Smith was pastor of the Congregational church in Poultney, Vermont (1821–1826), where he wrote View of the Hebrews — and Oliver Cowdery’s family lived in Poultney, his stepmother and half-sisters belonging to that very congregation. Since Cowdery soon became Joseph’s principal scribe, this is a plausible route by which the book’s ideas could reach Joseph. </w:t>
      </w:r>
      <w:r>
        <w:t xml:space="preserve">No surviving document proves that Oliver himself read View of the Hebrews, so the link is circumstantial — but the geographic and congregational overlap is real. </w:t>
      </w:r>
      <w:r>
        <w:rPr>
          <w:color w:val="000000"/>
        </w:rPr>
        <w:t xml:space="preserve"> </w:t>
      </w:r>
      <w:hyperlink r:id="rId90">
        <w:r w:rsidR="00A32788">
          <w:rPr>
            <w:color w:val="0563C1"/>
            <w:u w:val="single"/>
          </w:rPr>
          <w:t>Oliver Cowdery’s Vermont Years (BYU Studies)</w:t>
        </w:r>
      </w:hyperlink>
    </w:p>
    <w:p w14:paraId="5ECD2624" w14:textId="77777777" w:rsidR="00A32788" w:rsidRDefault="00000000">
      <w:pPr>
        <w:numPr>
          <w:ilvl w:val="0"/>
          <w:numId w:val="3"/>
        </w:numPr>
        <w:pBdr>
          <w:top w:val="nil"/>
          <w:left w:val="nil"/>
          <w:bottom w:val="nil"/>
          <w:right w:val="nil"/>
          <w:between w:val="nil"/>
        </w:pBdr>
        <w:spacing w:after="55"/>
      </w:pPr>
      <w:r>
        <w:rPr>
          <w:b/>
          <w:bCs/>
          <w:color w:val="000000"/>
        </w:rPr>
        <w:lastRenderedPageBreak/>
        <w:t xml:space="preserve">Withheld for decades. </w:t>
      </w:r>
      <w:r>
        <w:rPr>
          <w:color w:val="000000"/>
        </w:rPr>
        <w:t xml:space="preserve">Roberts’s study was a confidential report for the First Presidency and Quorum of the Twelve — not meant for the public. It stayed unpublished for over sixty years, appearing only in 1985, when the University of Illinois Press issued it as Studies of the Book of Mormon (ed. Brigham D. Madsen). </w:t>
      </w:r>
      <w:hyperlink r:id="rId91">
        <w:r w:rsidR="00A32788">
          <w:rPr>
            <w:color w:val="0563C1"/>
            <w:u w:val="single"/>
          </w:rPr>
          <w:t>B. H. Roberts and the Book of Mormon (BYU RSC)</w:t>
        </w:r>
      </w:hyperlink>
    </w:p>
    <w:p w14:paraId="7F3D29B0" w14:textId="77777777" w:rsidR="00A32788" w:rsidRDefault="00A32788">
      <w:pPr>
        <w:spacing w:before="80" w:after="150"/>
        <w:ind w:left="200"/>
      </w:pPr>
      <w:hyperlink r:id="rId92">
        <w:r>
          <w:rPr>
            <w:b/>
            <w:bCs/>
            <w:color w:val="1155CC"/>
            <w:u w:val="single"/>
          </w:rPr>
          <w:t xml:space="preserve">▶ Companion document — </w:t>
        </w:r>
      </w:hyperlink>
      <w:hyperlink r:id="rId93">
        <w:r>
          <w:rPr>
            <w:b/>
            <w:bCs/>
            <w:i/>
            <w:iCs/>
            <w:color w:val="1155CC"/>
            <w:u w:val="single"/>
          </w:rPr>
          <w:t>The Book of Mormon and View of the Hebrews</w:t>
        </w:r>
      </w:hyperlink>
      <w:r w:rsidR="00000000">
        <w:t>: B. H. Roberts’s full eighteen-point parallel list — among them Israelite migration to America, a civilized people destroyed by a savage one, a sacred record buried in a hill, a “Urim and Thummim” breastplate, Egyptian-style writing, Isaiah’s “two sticks,” and a white messiah-figure.</w:t>
      </w:r>
    </w:p>
    <w:p w14:paraId="68753361" w14:textId="77777777" w:rsidR="00A32788" w:rsidRDefault="00000000">
      <w:pPr>
        <w:numPr>
          <w:ilvl w:val="0"/>
          <w:numId w:val="3"/>
        </w:numPr>
        <w:pBdr>
          <w:top w:val="nil"/>
          <w:left w:val="nil"/>
          <w:bottom w:val="nil"/>
          <w:right w:val="nil"/>
          <w:between w:val="nil"/>
        </w:pBdr>
        <w:spacing w:after="55"/>
      </w:pPr>
      <w:r>
        <w:rPr>
          <w:b/>
          <w:bCs/>
        </w:rPr>
        <w:t xml:space="preserve">Even the “Hebraisms” belong to the 19th-century genre. </w:t>
      </w:r>
      <w:r>
        <w:rPr>
          <w:color w:val="000000"/>
        </w:rPr>
        <w:t>The Late War even reproduces the very “Hebraisms” that apologists cite as proof of the Book of Mormon’s ancient Hebrew origin — chiasmus (mirror-image “A-B-B-A” structure), the cognate accusative (a verb paired with a noun from the same root, as in “they feared exceedingly with fear”), and construct-state chains (stacked “of” phrases such as “the land of the border of the wilderness”) — which shows those features are a by-product of imitating King James English, not evidence of an ancient source. In short, the traits that are supposed to make the Book of Mormon distinctively ancient were already circulating in popular books in Joseph’s environment.</w:t>
      </w:r>
    </w:p>
    <w:p w14:paraId="7341068C" w14:textId="77777777" w:rsidR="00A32788" w:rsidRDefault="00000000">
      <w:pPr>
        <w:numPr>
          <w:ilvl w:val="0"/>
          <w:numId w:val="3"/>
        </w:numPr>
        <w:pBdr>
          <w:top w:val="nil"/>
          <w:left w:val="nil"/>
          <w:bottom w:val="nil"/>
          <w:right w:val="nil"/>
          <w:between w:val="nil"/>
        </w:pBdr>
        <w:spacing w:after="55"/>
      </w:pPr>
      <w:r>
        <w:rPr>
          <w:b/>
          <w:bCs/>
          <w:color w:val="000000"/>
        </w:rPr>
        <w:t xml:space="preserve">A third parallel: Solomon Spalding. </w:t>
      </w:r>
      <w:r>
        <w:rPr>
          <w:color w:val="000000"/>
        </w:rPr>
        <w:t xml:space="preserve">Solomon Spalding’s historical romance (written about 1809–1812) told of Old-World migrants who built a lost American civilization, written in King James “it came to pass” style and framed as a translation of records buried in the earth. In 1833, eight of his former Conneaut, Ohio neighbors swore that his “Manuscript Found” resembled the Book of Mormon — statements collected in Howe’s Mormonism Unvailed. </w:t>
      </w:r>
      <w:r>
        <w:t xml:space="preserve">In fairness, the one Spalding manuscript later recovered does not closely match the Book of Mormon, and a 2026 stylometric comparison placed Spalding’s style among the farthest from the Book of Mormon of any candidate tested — so whatever his Conneaut neighbors remembered, the surviving manuscript is not its stylistic source. </w:t>
      </w:r>
      <w:r>
        <w:rPr>
          <w:color w:val="000000"/>
        </w:rPr>
        <w:t xml:space="preserve">But the point does not depend on direct copying: the Book of Mormon’s very premise — Old-World migrants, a lost American civilization, a “translated” ancient record — was a recognizable popular genre in Joseph’s world. </w:t>
      </w:r>
      <w:hyperlink r:id="rId94">
        <w:r w:rsidR="00A32788">
          <w:rPr>
            <w:color w:val="0563C1"/>
            <w:u w:val="single"/>
          </w:rPr>
          <w:t>The Spalding theory then and now (Dialogue)</w:t>
        </w:r>
      </w:hyperlink>
    </w:p>
    <w:p w14:paraId="20A521CC" w14:textId="77777777" w:rsidR="00A32788" w:rsidRDefault="00000000">
      <w:pPr>
        <w:numPr>
          <w:ilvl w:val="0"/>
          <w:numId w:val="3"/>
        </w:numPr>
        <w:pBdr>
          <w:top w:val="nil"/>
          <w:left w:val="nil"/>
          <w:bottom w:val="nil"/>
          <w:right w:val="nil"/>
          <w:between w:val="nil"/>
        </w:pBdr>
        <w:spacing w:after="55"/>
      </w:pPr>
      <w:r>
        <w:rPr>
          <w:b/>
          <w:bCs/>
          <w:color w:val="000000"/>
        </w:rPr>
        <w:t xml:space="preserve">Primary source (the affidavits): </w:t>
      </w:r>
      <w:hyperlink r:id="rId95">
        <w:r w:rsidR="00A32788">
          <w:rPr>
            <w:color w:val="0563C1"/>
            <w:u w:val="single"/>
          </w:rPr>
          <w:t>Howe, Mormonism Unvailed (1834) — the sworn Conneaut statements</w:t>
        </w:r>
      </w:hyperlink>
    </w:p>
    <w:p w14:paraId="7A0E492D" w14:textId="77777777" w:rsidR="00A32788" w:rsidRDefault="00000000">
      <w:pPr>
        <w:spacing w:before="30" w:after="30"/>
      </w:pPr>
      <w:r>
        <w:rPr>
          <w:b/>
          <w:bCs/>
          <w:color w:val="595959"/>
          <w:sz w:val="20"/>
          <w:szCs w:val="20"/>
        </w:rPr>
        <w:t>Counterarguments</w:t>
      </w:r>
    </w:p>
    <w:p w14:paraId="111A3AC9" w14:textId="77777777" w:rsidR="00A32788" w:rsidRDefault="00000000">
      <w:pPr>
        <w:numPr>
          <w:ilvl w:val="0"/>
          <w:numId w:val="3"/>
        </w:numPr>
        <w:pBdr>
          <w:top w:val="nil"/>
          <w:left w:val="nil"/>
          <w:bottom w:val="nil"/>
          <w:right w:val="nil"/>
          <w:between w:val="nil"/>
        </w:pBdr>
        <w:spacing w:after="70"/>
      </w:pPr>
      <w:r>
        <w:rPr>
          <w:b/>
          <w:bCs/>
          <w:color w:val="000000"/>
        </w:rPr>
        <w:t xml:space="preserve">“Common phrases prove nothing, and Roberts stayed faithful.” </w:t>
      </w:r>
      <w:r>
        <w:rPr>
          <w:color w:val="000000"/>
        </w:rPr>
        <w:t>— Parallels alone aren’t proof, but a sitting apostle found them serious enough to study in detail, and together with the book’s 19th-century language and theology they point to Joseph’s environment.</w:t>
      </w:r>
    </w:p>
    <w:p w14:paraId="364DF92D" w14:textId="77777777" w:rsidR="00A32788" w:rsidRDefault="00A32788">
      <w:pPr>
        <w:pBdr>
          <w:bottom w:val="single" w:sz="4" w:space="2" w:color="DDDDDD"/>
        </w:pBdr>
        <w:spacing w:before="60" w:after="60"/>
      </w:pPr>
    </w:p>
    <w:p w14:paraId="685D0A1D" w14:textId="77777777" w:rsidR="00A32788" w:rsidRDefault="00000000">
      <w:pPr>
        <w:pStyle w:val="Heading2"/>
      </w:pPr>
      <w:r>
        <w:t>It cites a Hebrew idiom as proof while claiming an Egyptian script</w:t>
      </w:r>
    </w:p>
    <w:p w14:paraId="5459E169" w14:textId="77777777" w:rsidR="00A32788" w:rsidRDefault="00000000">
      <w:pPr>
        <w:spacing w:before="20" w:after="90"/>
      </w:pPr>
      <w:r>
        <w:rPr>
          <w:b/>
          <w:bCs/>
          <w:color w:val="7A1F2B"/>
        </w:rPr>
        <w:t xml:space="preserve">Claim.  </w:t>
      </w:r>
      <w:r>
        <w:t>The Book of Mormon claims to be written in “reformed Egyptian,” yet its single most characteristic feature is a Hebrew one: the phrase “and it came to pass,” which renders a Hebrew grammatical construction. Apologists cite this as a Hebraism proving the Nephites’ Israelite heritage — but the argument is self-defeating, because a Hebrew structure should not pervade a text written in an Egyptian-derived script, and the phrase is exactly what imitating the King James Bible produces.</w:t>
      </w:r>
    </w:p>
    <w:p w14:paraId="1729620C" w14:textId="77777777" w:rsidR="00A32788" w:rsidRDefault="00000000">
      <w:pPr>
        <w:spacing w:before="30" w:after="30"/>
      </w:pPr>
      <w:r>
        <w:rPr>
          <w:b/>
          <w:bCs/>
          <w:color w:val="2E5496"/>
          <w:sz w:val="20"/>
          <w:szCs w:val="20"/>
        </w:rPr>
        <w:t>Substantiation</w:t>
      </w:r>
    </w:p>
    <w:p w14:paraId="29A3253A" w14:textId="77777777" w:rsidR="00A32788" w:rsidRDefault="00000000">
      <w:pPr>
        <w:numPr>
          <w:ilvl w:val="0"/>
          <w:numId w:val="3"/>
        </w:numPr>
        <w:pBdr>
          <w:top w:val="nil"/>
          <w:left w:val="nil"/>
          <w:bottom w:val="nil"/>
          <w:right w:val="nil"/>
          <w:between w:val="nil"/>
        </w:pBdr>
        <w:spacing w:after="55"/>
      </w:pPr>
      <w:r>
        <w:rPr>
          <w:b/>
          <w:bCs/>
          <w:color w:val="000000"/>
        </w:rPr>
        <w:t xml:space="preserve">The Hebrew structure. </w:t>
      </w:r>
      <w:r>
        <w:rPr>
          <w:color w:val="000000"/>
        </w:rPr>
        <w:t>In biblical Hebrew, wayehi (</w:t>
      </w:r>
      <w:r>
        <w:rPr>
          <w:color w:val="000000"/>
          <w:rtl/>
        </w:rPr>
        <w:t>וַיְהִי</w:t>
      </w:r>
      <w:r>
        <w:rPr>
          <w:color w:val="000000"/>
        </w:rPr>
        <w:t>) is a form of the verb “to be” (hayah) carrying a “waw-consecutive” prefix — the letter waw (“and”) attached to a verb to carry a past-tense narrative forward, a construction distinctive to biblical Hebrew. The King James Version renders it “and it came to pass” over 400 times in the Old Testament.</w:t>
      </w:r>
    </w:p>
    <w:p w14:paraId="72D7E4C1" w14:textId="77777777" w:rsidR="00A32788" w:rsidRDefault="00000000">
      <w:pPr>
        <w:numPr>
          <w:ilvl w:val="0"/>
          <w:numId w:val="3"/>
        </w:numPr>
        <w:pBdr>
          <w:top w:val="nil"/>
          <w:left w:val="nil"/>
          <w:bottom w:val="nil"/>
          <w:right w:val="nil"/>
          <w:between w:val="nil"/>
        </w:pBdr>
        <w:spacing w:after="55"/>
      </w:pPr>
      <w:r>
        <w:rPr>
          <w:b/>
          <w:bCs/>
          <w:color w:val="000000"/>
        </w:rPr>
        <w:t xml:space="preserve">In the Book of Mormon. </w:t>
      </w:r>
      <w:r>
        <w:rPr>
          <w:color w:val="000000"/>
        </w:rPr>
        <w:t>The same phrase appears more than 1,300 times. Apologists cite that frequency as a Hebraism reflecting the authors’ Israelite, Hebrew-speaking heritage.</w:t>
      </w:r>
    </w:p>
    <w:p w14:paraId="5F6FB347" w14:textId="77777777" w:rsidR="00A32788" w:rsidRDefault="00000000">
      <w:pPr>
        <w:numPr>
          <w:ilvl w:val="0"/>
          <w:numId w:val="3"/>
        </w:numPr>
        <w:pBdr>
          <w:top w:val="nil"/>
          <w:left w:val="nil"/>
          <w:bottom w:val="nil"/>
          <w:right w:val="nil"/>
          <w:between w:val="nil"/>
        </w:pBdr>
        <w:spacing w:after="55"/>
      </w:pPr>
      <w:r>
        <w:rPr>
          <w:b/>
          <w:bCs/>
          <w:color w:val="000000"/>
        </w:rPr>
        <w:lastRenderedPageBreak/>
        <w:t xml:space="preserve">Why it backfires. </w:t>
      </w:r>
      <w:r>
        <w:rPr>
          <w:color w:val="000000"/>
        </w:rPr>
        <w:t>The book claims to be written in “reformed Egyptian” (</w:t>
      </w:r>
      <w:hyperlink r:id="rId96">
        <w:r w:rsidR="00A32788">
          <w:rPr>
            <w:color w:val="1155CC"/>
            <w:u w:val="single"/>
          </w:rPr>
          <w:t>Mormon 9:32–34</w:t>
        </w:r>
      </w:hyperlink>
      <w:r>
        <w:rPr>
          <w:color w:val="000000"/>
        </w:rPr>
        <w:t>). Egyptian languages follow different structures — typically verb-subject-object word order and nominal sentence patterns — and have no waw-consecutive. A pervasive Hebrew grammatical feature inside a supposedly Egyptian-based script is anachronistic; it points instead to imitation of the King James Bible (and of 19th-century works like The Late War, which uses the same phrase heavily)</w:t>
      </w:r>
      <w:r>
        <w:t>.</w:t>
      </w:r>
    </w:p>
    <w:p w14:paraId="5B3D8BAD" w14:textId="77777777" w:rsidR="00A32788" w:rsidRDefault="00000000">
      <w:pPr>
        <w:numPr>
          <w:ilvl w:val="0"/>
          <w:numId w:val="3"/>
        </w:numPr>
        <w:pBdr>
          <w:top w:val="nil"/>
          <w:left w:val="nil"/>
          <w:bottom w:val="nil"/>
          <w:right w:val="nil"/>
          <w:between w:val="nil"/>
        </w:pBdr>
        <w:spacing w:after="55"/>
      </w:pPr>
      <w:r>
        <w:rPr>
          <w:b/>
          <w:bCs/>
          <w:color w:val="000000"/>
        </w:rPr>
        <w:t xml:space="preserve">And Egyptian writing in America is itself unattested. </w:t>
      </w:r>
      <w:r>
        <w:rPr>
          <w:color w:val="000000"/>
        </w:rPr>
        <w:t>No Egyptian writing — “reformed” or otherwise — has ever been found in the pre-Columbian Americas, and no ancient American script has been shown to descend from Egyptian. Egyptian hieroglyphs were themselves undeciphered until the work following the Rosetta Stone in the 1820s — the very decade Joseph produced the book. A colony leaving Jerusalem in 600 BCE would have carried Hebrew or Aramaic, not an Egyptian-based script otherwise unknown in the ancient world outside Egypt.</w:t>
      </w:r>
    </w:p>
    <w:p w14:paraId="6324405D" w14:textId="77777777" w:rsidR="00A32788" w:rsidRDefault="00000000">
      <w:pPr>
        <w:spacing w:before="30" w:after="30"/>
      </w:pPr>
      <w:r>
        <w:rPr>
          <w:b/>
          <w:bCs/>
          <w:color w:val="595959"/>
          <w:sz w:val="20"/>
          <w:szCs w:val="20"/>
        </w:rPr>
        <w:t>Counterarguments</w:t>
      </w:r>
    </w:p>
    <w:p w14:paraId="00C62BCC" w14:textId="77777777" w:rsidR="00A32788" w:rsidRDefault="00000000">
      <w:pPr>
        <w:numPr>
          <w:ilvl w:val="0"/>
          <w:numId w:val="3"/>
        </w:numPr>
        <w:pBdr>
          <w:top w:val="nil"/>
          <w:left w:val="nil"/>
          <w:bottom w:val="nil"/>
          <w:right w:val="nil"/>
          <w:between w:val="nil"/>
        </w:pBdr>
        <w:spacing w:after="70"/>
      </w:pPr>
      <w:r>
        <w:rPr>
          <w:b/>
          <w:bCs/>
          <w:color w:val="000000"/>
        </w:rPr>
        <w:t xml:space="preserve">“The Hebraism shows the authors were Israelites writing in modified Egyptian.” </w:t>
      </w:r>
      <w:r>
        <w:rPr>
          <w:color w:val="000000"/>
        </w:rPr>
        <w:t>— If the script and language were Egyptian, the grammar should be Egyptian too; a Hebrew syntactic structure does not survive a switch to an Egyptian writing system. And the phrase is exactly what copying the King James Bible yields — so it cannot serve as independent proof of an ancient Hebrew origin.</w:t>
      </w:r>
    </w:p>
    <w:p w14:paraId="4D8AD5D3" w14:textId="77777777" w:rsidR="00A32788" w:rsidRDefault="00A32788">
      <w:pPr>
        <w:pBdr>
          <w:bottom w:val="single" w:sz="4" w:space="2" w:color="DDDDDD"/>
        </w:pBdr>
        <w:spacing w:before="60" w:after="60"/>
      </w:pPr>
    </w:p>
    <w:p w14:paraId="6239D9A4" w14:textId="77777777" w:rsidR="00A32788" w:rsidRDefault="00000000">
      <w:pPr>
        <w:pStyle w:val="Heading2"/>
      </w:pPr>
      <w:r>
        <w:t>Its changes contradict the “most correct book” claim</w:t>
      </w:r>
    </w:p>
    <w:p w14:paraId="605F53A6" w14:textId="77777777" w:rsidR="00A32788" w:rsidRDefault="00000000">
      <w:pPr>
        <w:spacing w:before="20" w:after="90"/>
      </w:pPr>
      <w:r>
        <w:rPr>
          <w:b/>
          <w:bCs/>
          <w:color w:val="7A1F2B"/>
        </w:rPr>
        <w:t xml:space="preserve">Claim.  </w:t>
      </w:r>
      <w:r>
        <w:t xml:space="preserve">Joseph Smith called the Book of Mormon “the most correct of any book on earth,” yet later editions made roughly 4,000 changes, including substantive ones — a king alive after his death (King Benjamin in </w:t>
      </w:r>
      <w:hyperlink r:id="rId97">
        <w:r w:rsidR="00A32788">
          <w:rPr>
            <w:color w:val="1155CC"/>
            <w:u w:val="single"/>
          </w:rPr>
          <w:t>Mosiah 21:28</w:t>
        </w:r>
      </w:hyperlink>
      <w:r>
        <w:t>, corrected to King Mosiah) and “mother of God” changed to “mother of the Son of God” (</w:t>
      </w:r>
      <w:hyperlink r:id="rId98">
        <w:r w:rsidR="00A32788">
          <w:rPr>
            <w:color w:val="1155CC"/>
            <w:u w:val="single"/>
          </w:rPr>
          <w:t>1 Nephi 11:18</w:t>
        </w:r>
      </w:hyperlink>
      <w:r>
        <w:t>). A word-by-word revealed text should not need such corrections.</w:t>
      </w:r>
    </w:p>
    <w:p w14:paraId="4418F6CC" w14:textId="77777777" w:rsidR="00A32788" w:rsidRDefault="00000000">
      <w:pPr>
        <w:spacing w:before="30" w:after="30"/>
      </w:pPr>
      <w:r>
        <w:rPr>
          <w:b/>
          <w:bCs/>
          <w:color w:val="2E5496"/>
          <w:sz w:val="20"/>
          <w:szCs w:val="20"/>
        </w:rPr>
        <w:t>Substantiation</w:t>
      </w:r>
    </w:p>
    <w:p w14:paraId="0CC0D4BE" w14:textId="77777777" w:rsidR="00A32788" w:rsidRDefault="00000000">
      <w:pPr>
        <w:numPr>
          <w:ilvl w:val="0"/>
          <w:numId w:val="3"/>
        </w:numPr>
        <w:pBdr>
          <w:top w:val="nil"/>
          <w:left w:val="nil"/>
          <w:bottom w:val="nil"/>
          <w:right w:val="nil"/>
          <w:between w:val="nil"/>
        </w:pBdr>
        <w:spacing w:after="55"/>
      </w:pPr>
      <w:r>
        <w:rPr>
          <w:b/>
          <w:bCs/>
          <w:color w:val="000000"/>
        </w:rPr>
        <w:t xml:space="preserve">The quote </w:t>
      </w:r>
      <w:r>
        <w:rPr>
          <w:color w:val="000000"/>
        </w:rPr>
        <w:t xml:space="preserve">is in the </w:t>
      </w:r>
      <w:hyperlink r:id="rId99">
        <w:r w:rsidR="00A32788">
          <w:rPr>
            <w:color w:val="1155CC"/>
            <w:u w:val="single"/>
          </w:rPr>
          <w:t>Book of Mormon Introduction</w:t>
        </w:r>
      </w:hyperlink>
      <w:r>
        <w:rPr>
          <w:color w:val="000000"/>
        </w:rPr>
        <w:t xml:space="preserve">; the 1830 edition is scanned for comparison. </w:t>
      </w:r>
      <w:hyperlink r:id="rId100">
        <w:r w:rsidR="00A32788">
          <w:rPr>
            <w:color w:val="0563C1"/>
            <w:u w:val="single"/>
          </w:rPr>
          <w:t>Joseph Smith Papers — 1830 edition</w:t>
        </w:r>
      </w:hyperlink>
    </w:p>
    <w:p w14:paraId="5CAE2E53" w14:textId="77777777" w:rsidR="00A32788" w:rsidRDefault="00000000">
      <w:pPr>
        <w:spacing w:before="30" w:after="30"/>
      </w:pPr>
      <w:r>
        <w:rPr>
          <w:b/>
          <w:bCs/>
          <w:color w:val="595959"/>
          <w:sz w:val="20"/>
          <w:szCs w:val="20"/>
        </w:rPr>
        <w:t>Counterarguments</w:t>
      </w:r>
    </w:p>
    <w:p w14:paraId="213413ED" w14:textId="77777777" w:rsidR="00A32788" w:rsidRDefault="00000000">
      <w:pPr>
        <w:numPr>
          <w:ilvl w:val="0"/>
          <w:numId w:val="3"/>
        </w:numPr>
        <w:pBdr>
          <w:top w:val="nil"/>
          <w:left w:val="nil"/>
          <w:bottom w:val="nil"/>
          <w:right w:val="nil"/>
          <w:between w:val="nil"/>
        </w:pBdr>
        <w:spacing w:after="70"/>
      </w:pPr>
      <w:r>
        <w:rPr>
          <w:b/>
          <w:bCs/>
          <w:color w:val="000000"/>
        </w:rPr>
        <w:t xml:space="preserve">“‘Most correct’ meant its precepts, and the changes are typos.” </w:t>
      </w:r>
      <w:r>
        <w:rPr>
          <w:color w:val="000000"/>
        </w:rPr>
        <w:t>— Several changes are doctrinal or factual, not orthographic, and the Church’s own translation account describes each word being confirmed during dictation.</w:t>
      </w:r>
    </w:p>
    <w:p w14:paraId="65ED228B" w14:textId="77777777" w:rsidR="00A32788" w:rsidRDefault="00000000">
      <w:pPr>
        <w:numPr>
          <w:ilvl w:val="0"/>
          <w:numId w:val="3"/>
        </w:numPr>
        <w:pBdr>
          <w:top w:val="nil"/>
          <w:left w:val="nil"/>
          <w:bottom w:val="nil"/>
          <w:right w:val="nil"/>
          <w:between w:val="nil"/>
        </w:pBdr>
        <w:spacing w:after="70"/>
      </w:pPr>
      <w:r>
        <w:rPr>
          <w:b/>
          <w:bCs/>
          <w:color w:val="000000"/>
        </w:rPr>
        <w:t xml:space="preserve">“Most of the ~4,000 changes are spelling and punctuation introduced by the 1830 typesetter, not the text.” </w:t>
      </w:r>
      <w:r>
        <w:rPr>
          <w:color w:val="000000"/>
        </w:rPr>
        <w:t>— True of most — but not all. Substantive changes remain: a king is corrected from being described as alive after his death (</w:t>
      </w:r>
      <w:hyperlink r:id="rId101">
        <w:r w:rsidR="00A32788">
          <w:rPr>
            <w:color w:val="1155CC"/>
            <w:u w:val="single"/>
          </w:rPr>
          <w:t>Mosiah 21:28</w:t>
        </w:r>
      </w:hyperlink>
      <w:r>
        <w:rPr>
          <w:color w:val="000000"/>
        </w:rPr>
        <w:t>), and ‘the mother of God’ became ‘the mother of the Son of God’ (</w:t>
      </w:r>
      <w:hyperlink r:id="rId102">
        <w:r w:rsidR="00A32788">
          <w:rPr>
            <w:color w:val="1155CC"/>
            <w:u w:val="single"/>
          </w:rPr>
          <w:t>1 Nephi 11:18</w:t>
        </w:r>
      </w:hyperlink>
      <w:r>
        <w:rPr>
          <w:color w:val="000000"/>
        </w:rPr>
        <w:t>). Even a few doctrinal corrections are hard to reconcile with a word-perfect revealed translation.</w:t>
      </w:r>
    </w:p>
    <w:p w14:paraId="55531838" w14:textId="77777777" w:rsidR="00A32788" w:rsidRDefault="00000000">
      <w:pPr>
        <w:numPr>
          <w:ilvl w:val="0"/>
          <w:numId w:val="3"/>
        </w:numPr>
        <w:pBdr>
          <w:top w:val="nil"/>
          <w:left w:val="nil"/>
          <w:bottom w:val="nil"/>
          <w:right w:val="nil"/>
          <w:between w:val="nil"/>
        </w:pBdr>
        <w:spacing w:after="70"/>
      </w:pPr>
      <w:r>
        <w:rPr>
          <w:b/>
          <w:bCs/>
          <w:color w:val="000000"/>
        </w:rPr>
        <w:t xml:space="preserve">“‘Most correct’ doesn’t mean perfect — only more correct than any other book.” </w:t>
      </w:r>
      <w:r>
        <w:rPr>
          <w:color w:val="000000"/>
        </w:rPr>
        <w:t>— Joseph’s fuller statement was that a person could get ‘nearer to God by abiding by its precepts, than by any other book’ — a claim about its teachings. Grant that reading: the problem here is not imperfection in general but specific factual and doctrinal errors that had to be corrected — a king described as alive after his own death, and ‘the mother of God’ changed to ‘the mother of the Son of God.’ A text dictated word by word ‘by the gift and power of God’ should not contain errors of that kind, whatever ‘most correct’ is taken to mean.</w:t>
      </w:r>
    </w:p>
    <w:p w14:paraId="6FD5017F" w14:textId="77777777" w:rsidR="00A32788" w:rsidRDefault="00A32788">
      <w:pPr>
        <w:pBdr>
          <w:bottom w:val="single" w:sz="4" w:space="2" w:color="DDDDDD"/>
        </w:pBdr>
        <w:spacing w:before="60" w:after="60"/>
      </w:pPr>
    </w:p>
    <w:p w14:paraId="59A74737" w14:textId="77777777" w:rsidR="00A32788" w:rsidRDefault="00000000">
      <w:pPr>
        <w:pStyle w:val="Heading2"/>
      </w:pPr>
      <w:r>
        <w:t>The 1981 “white”-to-“pure” change tracked social pressure</w:t>
      </w:r>
    </w:p>
    <w:p w14:paraId="01640058" w14:textId="77777777" w:rsidR="00A32788" w:rsidRDefault="00000000">
      <w:pPr>
        <w:spacing w:before="20" w:after="90"/>
      </w:pPr>
      <w:r>
        <w:rPr>
          <w:b/>
          <w:bCs/>
          <w:color w:val="7A1F2B"/>
        </w:rPr>
        <w:t xml:space="preserve">Claim.  </w:t>
      </w:r>
      <w:r>
        <w:t>“White and delightsome” was changed to “pure and delightsome,” and that change entered the standard editions only in 1981 — three years after the 1978 revelation ending the priesthood ban on black members. The timing points to doctrine shaped by social pressure, not revelation.</w:t>
      </w:r>
    </w:p>
    <w:p w14:paraId="746DF101" w14:textId="77777777" w:rsidR="00A32788" w:rsidRDefault="00000000">
      <w:pPr>
        <w:spacing w:before="30" w:after="30"/>
      </w:pPr>
      <w:r>
        <w:rPr>
          <w:b/>
          <w:bCs/>
          <w:color w:val="2E5496"/>
          <w:sz w:val="20"/>
          <w:szCs w:val="20"/>
        </w:rPr>
        <w:lastRenderedPageBreak/>
        <w:t>Substantiation</w:t>
      </w:r>
    </w:p>
    <w:p w14:paraId="38C3A6AE" w14:textId="77777777" w:rsidR="00A32788" w:rsidRDefault="00000000">
      <w:pPr>
        <w:numPr>
          <w:ilvl w:val="0"/>
          <w:numId w:val="3"/>
        </w:numPr>
        <w:pBdr>
          <w:top w:val="nil"/>
          <w:left w:val="nil"/>
          <w:bottom w:val="nil"/>
          <w:right w:val="nil"/>
          <w:between w:val="nil"/>
        </w:pBdr>
        <w:spacing w:after="55"/>
      </w:pPr>
      <w:r>
        <w:rPr>
          <w:b/>
          <w:bCs/>
          <w:color w:val="000000"/>
        </w:rPr>
        <w:t xml:space="preserve">The current verse </w:t>
      </w:r>
      <w:r>
        <w:rPr>
          <w:color w:val="000000"/>
        </w:rPr>
        <w:t xml:space="preserve">is on the Church’s site (Joseph made the edit in 1840; it was restored to the standard text in 1981). </w:t>
      </w:r>
      <w:hyperlink r:id="rId103">
        <w:r w:rsidR="00A32788">
          <w:rPr>
            <w:color w:val="0563C1"/>
            <w:u w:val="single"/>
          </w:rPr>
          <w:t>2 Nephi 30:6</w:t>
        </w:r>
      </w:hyperlink>
    </w:p>
    <w:p w14:paraId="44DE3535" w14:textId="77777777" w:rsidR="00A32788" w:rsidRDefault="00000000">
      <w:pPr>
        <w:spacing w:before="30" w:after="30"/>
      </w:pPr>
      <w:r>
        <w:rPr>
          <w:b/>
          <w:bCs/>
          <w:color w:val="595959"/>
          <w:sz w:val="20"/>
          <w:szCs w:val="20"/>
        </w:rPr>
        <w:t>Counterarguments</w:t>
      </w:r>
    </w:p>
    <w:p w14:paraId="1BABFD7C" w14:textId="77777777" w:rsidR="00A32788" w:rsidRDefault="00000000">
      <w:pPr>
        <w:numPr>
          <w:ilvl w:val="0"/>
          <w:numId w:val="3"/>
        </w:numPr>
        <w:pBdr>
          <w:top w:val="nil"/>
          <w:left w:val="nil"/>
          <w:bottom w:val="nil"/>
          <w:right w:val="nil"/>
          <w:between w:val="nil"/>
        </w:pBdr>
        <w:spacing w:after="70"/>
      </w:pPr>
      <w:r>
        <w:rPr>
          <w:b/>
          <w:bCs/>
          <w:color w:val="000000"/>
        </w:rPr>
        <w:t xml:space="preserve">“It simply restores Joseph’s own 1840 correction.” </w:t>
      </w:r>
      <w:r>
        <w:rPr>
          <w:color w:val="000000"/>
        </w:rPr>
        <w:t>— Then the question is why it took until 1981 — immediately after the ban ended — rather than at any point in the prior 140 years.</w:t>
      </w:r>
    </w:p>
    <w:p w14:paraId="30283F9C" w14:textId="77777777" w:rsidR="00A32788" w:rsidRDefault="00000000">
      <w:r>
        <w:br w:type="page"/>
      </w:r>
    </w:p>
    <w:p w14:paraId="131D1B0B" w14:textId="77777777" w:rsidR="00A32788" w:rsidRDefault="00000000">
      <w:pPr>
        <w:pStyle w:val="Heading1"/>
      </w:pPr>
      <w:r>
        <w:lastRenderedPageBreak/>
        <w:t>3. Joseph Smith’s prophetic claims do not hold up</w:t>
      </w:r>
    </w:p>
    <w:p w14:paraId="5EA32087" w14:textId="77777777" w:rsidR="00A32788" w:rsidRDefault="00000000">
      <w:pPr>
        <w:pStyle w:val="Heading2"/>
      </w:pPr>
      <w:r>
        <w:t>The First Vision was developed over time</w:t>
      </w:r>
    </w:p>
    <w:p w14:paraId="3323C957" w14:textId="77777777" w:rsidR="00A32788" w:rsidRDefault="00000000">
      <w:pPr>
        <w:spacing w:before="20" w:after="90"/>
      </w:pPr>
      <w:r>
        <w:rPr>
          <w:b/>
          <w:bCs/>
          <w:color w:val="7A1F2B"/>
        </w:rPr>
        <w:t xml:space="preserve">Claim.  </w:t>
      </w:r>
      <w:r>
        <w:t>The Church’s founding event was told in conflicting ways. Joseph’s earliest, handwritten 1832 account describes one being (“the Lord”) and his own forgiveness; the later canonized 1838 account describes two personages and the question of which church is true. The vision appears to have grown over time rather than being recounted as experienced.</w:t>
      </w:r>
    </w:p>
    <w:p w14:paraId="7EEFD077" w14:textId="77777777" w:rsidR="00A32788" w:rsidRDefault="00000000">
      <w:pPr>
        <w:spacing w:before="30" w:after="30"/>
      </w:pPr>
      <w:r>
        <w:rPr>
          <w:b/>
          <w:bCs/>
          <w:color w:val="2E5496"/>
          <w:sz w:val="20"/>
          <w:szCs w:val="20"/>
        </w:rPr>
        <w:t>Substantiation</w:t>
      </w:r>
    </w:p>
    <w:p w14:paraId="511D5878" w14:textId="77777777" w:rsidR="00A32788" w:rsidRDefault="00000000">
      <w:pPr>
        <w:numPr>
          <w:ilvl w:val="0"/>
          <w:numId w:val="3"/>
        </w:numPr>
        <w:pBdr>
          <w:top w:val="nil"/>
          <w:left w:val="nil"/>
          <w:bottom w:val="nil"/>
          <w:right w:val="nil"/>
          <w:between w:val="nil"/>
        </w:pBdr>
        <w:spacing w:after="55"/>
      </w:pPr>
      <w:r>
        <w:rPr>
          <w:b/>
          <w:bCs/>
          <w:color w:val="000000"/>
        </w:rPr>
        <w:t xml:space="preserve">The Church’s essay </w:t>
      </w:r>
      <w:r>
        <w:rPr>
          <w:color w:val="000000"/>
        </w:rPr>
        <w:t xml:space="preserve">lists four firsthand accounts and concedes the 1832 one is “the only account written in Joseph Smith’s own hand.” </w:t>
      </w:r>
      <w:hyperlink r:id="rId104">
        <w:r w:rsidR="00A32788">
          <w:rPr>
            <w:color w:val="0563C1"/>
            <w:u w:val="single"/>
          </w:rPr>
          <w:t>First Vision Accounts</w:t>
        </w:r>
      </w:hyperlink>
    </w:p>
    <w:p w14:paraId="6DD7DB84" w14:textId="77777777" w:rsidR="00A32788" w:rsidRDefault="00000000">
      <w:pPr>
        <w:numPr>
          <w:ilvl w:val="0"/>
          <w:numId w:val="3"/>
        </w:numPr>
        <w:pBdr>
          <w:top w:val="nil"/>
          <w:left w:val="nil"/>
          <w:bottom w:val="nil"/>
          <w:right w:val="nil"/>
          <w:between w:val="nil"/>
        </w:pBdr>
        <w:spacing w:after="55"/>
      </w:pPr>
      <w:r>
        <w:rPr>
          <w:b/>
          <w:bCs/>
          <w:color w:val="000000"/>
        </w:rPr>
        <w:t xml:space="preserve">All four accounts </w:t>
      </w:r>
      <w:r>
        <w:rPr>
          <w:color w:val="000000"/>
        </w:rPr>
        <w:t xml:space="preserve">are transcribed at the Church’s Joseph Smith Papers; the 1832 says “I saw the Lord,” the 1838 says “I saw two Personages.” </w:t>
      </w:r>
      <w:hyperlink r:id="rId105">
        <w:r w:rsidR="00A32788">
          <w:rPr>
            <w:color w:val="0563C1"/>
            <w:u w:val="single"/>
          </w:rPr>
          <w:t>Accounts of the First Vision</w:t>
        </w:r>
      </w:hyperlink>
    </w:p>
    <w:p w14:paraId="0D0D54B0" w14:textId="77777777" w:rsidR="00A32788" w:rsidRDefault="00000000">
      <w:pPr>
        <w:numPr>
          <w:ilvl w:val="0"/>
          <w:numId w:val="3"/>
        </w:numPr>
        <w:pBdr>
          <w:top w:val="nil"/>
          <w:left w:val="nil"/>
          <w:bottom w:val="nil"/>
          <w:right w:val="nil"/>
          <w:between w:val="nil"/>
        </w:pBdr>
        <w:spacing w:after="55"/>
      </w:pPr>
      <w:r>
        <w:rPr>
          <w:b/>
          <w:bCs/>
          <w:color w:val="000000"/>
        </w:rPr>
        <w:t xml:space="preserve">No early record. </w:t>
      </w:r>
      <w:r>
        <w:rPr>
          <w:color w:val="000000"/>
        </w:rPr>
        <w:t xml:space="preserve">The vision was first written only in 1832 — twelve years later, in the lone account in Joseph’s own hand, which mentions a single being (“the Lord”) and gives his age as the “16th year.” It was not published until 1842, twenty-two years after the fact, and there is no contemporary 1820s record of the vision or of the persecution the 1838 account claims. The point is conceded even by faithful historians: James B. Allen (later Assistant Church Historian) acknowledged there is “little if any evidence” that Joseph was recounting the vision publicly in the early 1830s — no one at the time thought it important enough to record. </w:t>
      </w:r>
      <w:hyperlink r:id="rId106">
        <w:r w:rsidR="00A32788">
          <w:rPr>
            <w:color w:val="0563C1"/>
            <w:u w:val="single"/>
          </w:rPr>
          <w:t>Opening the Heavens (BYU Studies)</w:t>
        </w:r>
      </w:hyperlink>
    </w:p>
    <w:p w14:paraId="53768F9F" w14:textId="77777777" w:rsidR="00A32788" w:rsidRDefault="00000000">
      <w:pPr>
        <w:numPr>
          <w:ilvl w:val="0"/>
          <w:numId w:val="3"/>
        </w:numPr>
        <w:pBdr>
          <w:top w:val="nil"/>
          <w:left w:val="nil"/>
          <w:bottom w:val="nil"/>
          <w:right w:val="nil"/>
          <w:between w:val="nil"/>
        </w:pBdr>
        <w:spacing w:after="55"/>
      </w:pPr>
      <w:r>
        <w:rPr>
          <w:b/>
          <w:bCs/>
        </w:rPr>
        <w:t>The revival is dated wrong.</w:t>
      </w:r>
      <w:r>
        <w:t xml:space="preserve"> The 1838 account sets the vision amid "an unusual excitement on the subject of religion" — great multitudes joining the Methodists, Baptists, and Presbyterians near Palmyra. But the major revival matching that description is documented for </w:t>
      </w:r>
      <w:r>
        <w:rPr>
          <w:b/>
          <w:bCs/>
        </w:rPr>
        <w:t>1824–1825</w:t>
      </w:r>
      <w:r>
        <w:t xml:space="preserve">, not 1820: local church-membership records and Palmyra newspapers place the large awakening two to four years </w:t>
      </w:r>
      <w:r>
        <w:rPr>
          <w:i/>
          <w:iCs/>
        </w:rPr>
        <w:t>after</w:t>
      </w:r>
      <w:r>
        <w:t xml:space="preserve"> the vision supposedly occurred. The earliest, 1832 account contains none of this revival framing at all — suggesting the vivid setting was later built around a real event Joseph remembered from 1824. (Latter-day Saint scholars respond that smaller religious stirrings did occur nearby around 1819–1820, so "excitement" need not mean the 1824 revival — a partial answer, not a refutation.) </w:t>
      </w:r>
      <w:hyperlink r:id="rId107">
        <w:r w:rsidR="00A32788">
          <w:rPr>
            <w:color w:val="1155CC"/>
            <w:u w:val="single"/>
          </w:rPr>
          <w:t xml:space="preserve">New Light On Mormon Origins From Palmyra (N.Y.) REVIVAL </w:t>
        </w:r>
      </w:hyperlink>
    </w:p>
    <w:p w14:paraId="06709CA2" w14:textId="77777777" w:rsidR="00A32788" w:rsidRDefault="00000000">
      <w:pPr>
        <w:numPr>
          <w:ilvl w:val="0"/>
          <w:numId w:val="3"/>
        </w:numPr>
        <w:spacing w:after="60"/>
      </w:pPr>
      <w:r>
        <w:rPr>
          <w:b/>
          <w:bCs/>
        </w:rPr>
        <w:t xml:space="preserve">Then hidden for over a century. </w:t>
      </w:r>
      <w:r>
        <w:t>The 1832 account — the earliest, and the only one in Joseph’s own hand — was not published in his lifetime or for generations after. At some point in the mid-twentieth century its three leaves were cut out of Joseph’s letterbook and kept separately (the mended tear uses cellophane tape, invented in 1930), and the text was released only in the 1960s, after outside researchers pressed for access. The Church attributes the excision to archival practice rather than concealment — but the founding vision’s earliest account reached members more than 130 years late.</w:t>
      </w:r>
      <w:hyperlink r:id="rId108">
        <w:r w:rsidR="00A32788">
          <w:t xml:space="preserve"> </w:t>
        </w:r>
      </w:hyperlink>
      <w:hyperlink r:id="rId109">
        <w:r w:rsidR="00A32788">
          <w:rPr>
            <w:color w:val="0563C1"/>
            <w:u w:val="single"/>
          </w:rPr>
          <w:t>Opening the Heavens (BYU Studies)</w:t>
        </w:r>
      </w:hyperlink>
      <w:hyperlink r:id="rId110">
        <w:r w:rsidR="00A32788">
          <w:rPr>
            <w:color w:val="0563C1"/>
            <w:u w:val="single"/>
          </w:rPr>
          <w:t>Church First Vision Accounts FAQ</w:t>
        </w:r>
      </w:hyperlink>
    </w:p>
    <w:p w14:paraId="2935AC79" w14:textId="77777777" w:rsidR="00A32788" w:rsidRDefault="00000000">
      <w:pPr>
        <w:spacing w:before="40" w:after="30"/>
        <w:ind w:left="200"/>
      </w:pPr>
      <w:r>
        <w:rPr>
          <w:b/>
          <w:bCs/>
          <w:color w:val="0F6E64"/>
        </w:rPr>
        <w:t xml:space="preserve">Before. </w:t>
      </w:r>
      <w:r>
        <w:t>A single fixed version was taught; the earlier accounts, per the essay, “were generally forgotten until historians … rediscovered” them in the 1960s.</w:t>
      </w:r>
    </w:p>
    <w:p w14:paraId="0B266B96" w14:textId="77777777" w:rsidR="00A32788" w:rsidRDefault="00000000">
      <w:pPr>
        <w:spacing w:after="120"/>
        <w:ind w:left="200"/>
      </w:pPr>
      <w:r>
        <w:rPr>
          <w:b/>
          <w:bCs/>
          <w:color w:val="0F6E64"/>
        </w:rPr>
        <w:t xml:space="preserve">Now. </w:t>
      </w:r>
      <w:r>
        <w:t>The Church publishes all four accounts and acknowledges they differ in detail, including on the number of beings.</w:t>
      </w:r>
    </w:p>
    <w:p w14:paraId="5BFA13DC" w14:textId="77777777" w:rsidR="00A32788" w:rsidRDefault="00000000">
      <w:pPr>
        <w:spacing w:before="30" w:after="30"/>
      </w:pPr>
      <w:r>
        <w:rPr>
          <w:b/>
          <w:bCs/>
          <w:color w:val="595959"/>
          <w:sz w:val="20"/>
          <w:szCs w:val="20"/>
        </w:rPr>
        <w:t>Counterarguments</w:t>
      </w:r>
    </w:p>
    <w:p w14:paraId="23D8CBDF" w14:textId="77777777" w:rsidR="00A32788" w:rsidRDefault="00000000">
      <w:pPr>
        <w:numPr>
          <w:ilvl w:val="0"/>
          <w:numId w:val="3"/>
        </w:numPr>
        <w:pBdr>
          <w:top w:val="nil"/>
          <w:left w:val="nil"/>
          <w:bottom w:val="nil"/>
          <w:right w:val="nil"/>
          <w:between w:val="nil"/>
        </w:pBdr>
        <w:spacing w:after="70"/>
      </w:pPr>
      <w:r>
        <w:rPr>
          <w:b/>
          <w:bCs/>
          <w:color w:val="000000"/>
        </w:rPr>
        <w:t xml:space="preserve">“Retelling varies with audience and adds insight over time, like Paul’s accounts.” </w:t>
      </w:r>
      <w:r>
        <w:rPr>
          <w:color w:val="000000"/>
        </w:rPr>
        <w:t>— The variation is not emphasis but the identity of the beings and the purpose of the vision — and the earliest, only handwritten account is the simplest.</w:t>
      </w:r>
    </w:p>
    <w:p w14:paraId="4F11E188" w14:textId="77777777" w:rsidR="00A32788" w:rsidRDefault="00000000">
      <w:pPr>
        <w:numPr>
          <w:ilvl w:val="0"/>
          <w:numId w:val="3"/>
        </w:numPr>
        <w:pBdr>
          <w:top w:val="nil"/>
          <w:left w:val="nil"/>
          <w:bottom w:val="nil"/>
          <w:right w:val="nil"/>
          <w:between w:val="nil"/>
        </w:pBdr>
        <w:spacing w:after="70"/>
      </w:pPr>
      <w:r>
        <w:rPr>
          <w:b/>
          <w:bCs/>
          <w:color w:val="000000"/>
        </w:rPr>
        <w:t xml:space="preserve">“The accounts are complementary — the 1832 version just emphasizes different details for a different audience.” </w:t>
      </w:r>
      <w:r>
        <w:rPr>
          <w:color w:val="000000"/>
        </w:rPr>
        <w:t>— The differences are not emphasis but substance. In the 1832 account Joseph already knows the churches are wrong before he prays, and describes seeing one being (the Lord); in the canonized 1838 account he does not know which church is true, and sees two personages. Those are different stories of the same event, not different emphases.</w:t>
      </w:r>
    </w:p>
    <w:p w14:paraId="7C060F18" w14:textId="77777777" w:rsidR="00A32788" w:rsidRDefault="00000000">
      <w:pPr>
        <w:numPr>
          <w:ilvl w:val="0"/>
          <w:numId w:val="3"/>
        </w:numPr>
        <w:pBdr>
          <w:top w:val="nil"/>
          <w:left w:val="nil"/>
          <w:bottom w:val="nil"/>
          <w:right w:val="nil"/>
          <w:between w:val="nil"/>
        </w:pBdr>
        <w:spacing w:after="70"/>
      </w:pPr>
      <w:r>
        <w:rPr>
          <w:b/>
          <w:bCs/>
          <w:color w:val="000000"/>
        </w:rPr>
        <w:lastRenderedPageBreak/>
        <w:t xml:space="preserve">“The accounts differ only because it was years later and memories fade.” </w:t>
      </w:r>
      <w:r>
        <w:rPr>
          <w:color w:val="000000"/>
        </w:rPr>
        <w:t>— Fading memory might blur a peripheral detail — but these differences are the core of the event: how many divine beings appeared (one, then two) and what was even asked. This is the founding theophany of the religion, taught as the first lesson missionaries give; one does not misremember whether one met God alone or God together with Christ. And more tellingly, there is no contemporary 1820s record of the experience at all.</w:t>
      </w:r>
    </w:p>
    <w:p w14:paraId="0F7E131E" w14:textId="77777777" w:rsidR="00A32788" w:rsidRDefault="00000000">
      <w:pPr>
        <w:numPr>
          <w:ilvl w:val="0"/>
          <w:numId w:val="3"/>
        </w:numPr>
        <w:pBdr>
          <w:top w:val="nil"/>
          <w:left w:val="nil"/>
          <w:bottom w:val="nil"/>
          <w:right w:val="nil"/>
          <w:between w:val="nil"/>
        </w:pBdr>
        <w:spacing w:after="70"/>
      </w:pPr>
      <w:r>
        <w:rPr>
          <w:b/>
          <w:bCs/>
        </w:rPr>
        <w:t>"There was plenty of religious excitement around Palmyra in 1820, so the setting fits."</w:t>
      </w:r>
      <w:r>
        <w:t xml:space="preserve"> — Minor stirrings may have occurred, but the large, multi-denominational revival Joseph specifically describes — "great multitudes" joining three named churches — is documented for 1824–1825, not 1820. Anchoring the 1838 story to a revival that happened years later is evidence the circumstantial detail was reconstructed after the fact, which is exactly why the 1832 account, written closer to the event, contains no revival at all. </w:t>
      </w:r>
    </w:p>
    <w:p w14:paraId="72B02210" w14:textId="77777777" w:rsidR="00A32788" w:rsidRDefault="00A32788">
      <w:pPr>
        <w:pBdr>
          <w:bottom w:val="single" w:sz="4" w:space="2" w:color="DDDDDD"/>
        </w:pBdr>
        <w:spacing w:before="60" w:after="60"/>
      </w:pPr>
    </w:p>
    <w:p w14:paraId="6A17BA8B" w14:textId="77777777" w:rsidR="00A32788" w:rsidRDefault="00000000">
      <w:pPr>
        <w:pStyle w:val="Heading2"/>
      </w:pPr>
      <w:r>
        <w:t>The translation method was folk magic</w:t>
      </w:r>
    </w:p>
    <w:p w14:paraId="2B5C54B8" w14:textId="77777777" w:rsidR="00A32788" w:rsidRDefault="00000000">
      <w:pPr>
        <w:spacing w:before="20" w:after="90"/>
      </w:pPr>
      <w:r>
        <w:rPr>
          <w:b/>
          <w:bCs/>
          <w:color w:val="7A1F2B"/>
        </w:rPr>
        <w:t xml:space="preserve">Claim.  </w:t>
      </w:r>
      <w:r>
        <w:t>The Book of Mormon was produced by putting a seer stone in a hat — the same stone and method Joseph and others at the time used to hunt buried treasure — with the gold plates often covered or absent. This ties its production to treasure-digging, not divine translation.</w:t>
      </w:r>
    </w:p>
    <w:p w14:paraId="102AD1BE" w14:textId="77777777" w:rsidR="00A32788" w:rsidRDefault="00000000">
      <w:pPr>
        <w:spacing w:before="30" w:after="30"/>
      </w:pPr>
      <w:r>
        <w:rPr>
          <w:b/>
          <w:bCs/>
          <w:color w:val="2E5496"/>
          <w:sz w:val="20"/>
          <w:szCs w:val="20"/>
        </w:rPr>
        <w:t>Substantiation</w:t>
      </w:r>
    </w:p>
    <w:p w14:paraId="55BD10A8" w14:textId="77777777" w:rsidR="00A32788" w:rsidRDefault="00000000">
      <w:pPr>
        <w:numPr>
          <w:ilvl w:val="0"/>
          <w:numId w:val="3"/>
        </w:numPr>
        <w:pBdr>
          <w:top w:val="nil"/>
          <w:left w:val="nil"/>
          <w:bottom w:val="nil"/>
          <w:right w:val="nil"/>
          <w:between w:val="nil"/>
        </w:pBdr>
        <w:spacing w:after="55"/>
      </w:pPr>
      <w:r>
        <w:rPr>
          <w:b/>
          <w:bCs/>
          <w:color w:val="000000"/>
        </w:rPr>
        <w:t xml:space="preserve">The Church’s essay </w:t>
      </w:r>
      <w:r>
        <w:rPr>
          <w:color w:val="000000"/>
        </w:rPr>
        <w:t xml:space="preserve">says he “placed … the seer stone in a hat,” found it while treasure-seeking, and that Emma saw his “face buried in his hat, with the stone in it”; the Church published photos of the stone in 2015. </w:t>
      </w:r>
      <w:hyperlink r:id="rId111">
        <w:r w:rsidR="00A32788">
          <w:rPr>
            <w:color w:val="0563C1"/>
            <w:u w:val="single"/>
          </w:rPr>
          <w:t>Book of Mormon Translation</w:t>
        </w:r>
      </w:hyperlink>
    </w:p>
    <w:p w14:paraId="5134E46E" w14:textId="77777777" w:rsidR="00A32788" w:rsidRDefault="00000000">
      <w:pPr>
        <w:spacing w:before="40" w:after="30"/>
        <w:ind w:left="200"/>
      </w:pPr>
      <w:r>
        <w:rPr>
          <w:b/>
          <w:bCs/>
          <w:color w:val="0F6E64"/>
        </w:rPr>
        <w:t xml:space="preserve">Before. </w:t>
      </w:r>
      <w:r>
        <w:t>Curriculum and artwork long showed Joseph studying the plates with the spectacle-like “Urim and Thummim.”</w:t>
      </w:r>
    </w:p>
    <w:p w14:paraId="752C4346" w14:textId="77777777" w:rsidR="00A32788" w:rsidRDefault="00000000">
      <w:pPr>
        <w:spacing w:after="120"/>
        <w:ind w:left="200"/>
      </w:pPr>
      <w:r>
        <w:rPr>
          <w:b/>
          <w:bCs/>
          <w:color w:val="0F6E64"/>
        </w:rPr>
        <w:t xml:space="preserve">Now. </w:t>
      </w:r>
      <w:r>
        <w:t>The Church now affirms a single folk seer stone in a hat was often used, with the plates set aside.</w:t>
      </w:r>
    </w:p>
    <w:p w14:paraId="3E1DC32D" w14:textId="77777777" w:rsidR="00A32788" w:rsidRDefault="00000000">
      <w:pPr>
        <w:spacing w:before="30" w:after="30"/>
      </w:pPr>
      <w:r>
        <w:rPr>
          <w:b/>
          <w:bCs/>
          <w:color w:val="595959"/>
          <w:sz w:val="20"/>
          <w:szCs w:val="20"/>
        </w:rPr>
        <w:t>Counterarguments</w:t>
      </w:r>
    </w:p>
    <w:p w14:paraId="16D55ACF" w14:textId="77777777" w:rsidR="00A32788" w:rsidRDefault="00000000">
      <w:pPr>
        <w:numPr>
          <w:ilvl w:val="0"/>
          <w:numId w:val="3"/>
        </w:numPr>
        <w:pBdr>
          <w:top w:val="nil"/>
          <w:left w:val="nil"/>
          <w:bottom w:val="nil"/>
          <w:right w:val="nil"/>
          <w:between w:val="nil"/>
        </w:pBdr>
        <w:spacing w:after="70"/>
      </w:pPr>
      <w:r>
        <w:rPr>
          <w:b/>
          <w:bCs/>
          <w:color w:val="000000"/>
        </w:rPr>
        <w:t xml:space="preserve">“The method doesn’t matter — it was by the gift and power of God.” </w:t>
      </w:r>
      <w:r>
        <w:rPr>
          <w:color w:val="000000"/>
        </w:rPr>
        <w:t xml:space="preserve">— It was the identical stone-in-a-hat technique used for treasure-seeking (conceded by the Church, and the basis of his 1826 court appearance), and the plates were frequently unused — hard to reconcile with translation in any ordinary sense. </w:t>
      </w:r>
      <w:hyperlink r:id="rId112">
        <w:r w:rsidR="00A32788">
          <w:rPr>
            <w:color w:val="0563C1"/>
            <w:u w:val="single"/>
          </w:rPr>
          <w:t>Book of Mormon Translation essay</w:t>
        </w:r>
      </w:hyperlink>
    </w:p>
    <w:p w14:paraId="1209794A" w14:textId="77777777" w:rsidR="00A32788" w:rsidRDefault="00000000">
      <w:pPr>
        <w:numPr>
          <w:ilvl w:val="0"/>
          <w:numId w:val="3"/>
        </w:numPr>
        <w:pBdr>
          <w:top w:val="nil"/>
          <w:left w:val="nil"/>
          <w:bottom w:val="nil"/>
          <w:right w:val="nil"/>
          <w:between w:val="nil"/>
        </w:pBdr>
        <w:spacing w:after="70"/>
      </w:pPr>
      <w:r>
        <w:rPr>
          <w:b/>
          <w:bCs/>
        </w:rPr>
        <w:t>On the 1826 court appearance:</w:t>
      </w:r>
      <w:hyperlink r:id="rId113">
        <w:r w:rsidR="00A32788">
          <w:rPr>
            <w:b/>
            <w:bCs/>
          </w:rPr>
          <w:t xml:space="preserve"> </w:t>
        </w:r>
      </w:hyperlink>
      <w:hyperlink r:id="rId114">
        <w:r w:rsidR="00A32788">
          <w:rPr>
            <w:color w:val="1155CC"/>
            <w:u w:val="single"/>
          </w:rPr>
          <w:t>Church history topic: Joseph Smith’s 1826 Trial</w:t>
        </w:r>
      </w:hyperlink>
      <w:r>
        <w:t xml:space="preserve"> </w:t>
      </w:r>
    </w:p>
    <w:p w14:paraId="107EC74E" w14:textId="77777777" w:rsidR="00A32788" w:rsidRDefault="00000000">
      <w:pPr>
        <w:numPr>
          <w:ilvl w:val="0"/>
          <w:numId w:val="3"/>
        </w:numPr>
        <w:pBdr>
          <w:top w:val="nil"/>
          <w:left w:val="nil"/>
          <w:bottom w:val="nil"/>
          <w:right w:val="nil"/>
          <w:between w:val="nil"/>
        </w:pBdr>
        <w:spacing w:after="70"/>
      </w:pPr>
      <w:r>
        <w:rPr>
          <w:b/>
          <w:bCs/>
          <w:color w:val="000000"/>
        </w:rPr>
        <w:t xml:space="preserve">“God has always worked through physical instruments — the Urim and Thummim, Aaron’s rod.” </w:t>
      </w:r>
      <w:r>
        <w:rPr>
          <w:color w:val="000000"/>
        </w:rPr>
        <w:t>— The object here was the very stone Joseph had used to hunt buried treasure (the basis of his 1826 court appearance), placed in a hat — not a temple instrument — and the plates were usually not even in use during dictation. The folk-magic provenance is the problem, not the mere use of an object.</w:t>
      </w:r>
    </w:p>
    <w:p w14:paraId="6AB0B062" w14:textId="77777777" w:rsidR="00A32788" w:rsidRDefault="00A32788">
      <w:pPr>
        <w:pBdr>
          <w:bottom w:val="single" w:sz="4" w:space="2" w:color="DDDDDD"/>
        </w:pBdr>
        <w:spacing w:before="60" w:after="60"/>
      </w:pPr>
    </w:p>
    <w:p w14:paraId="176B9085" w14:textId="77777777" w:rsidR="00A32788" w:rsidRDefault="00000000">
      <w:pPr>
        <w:pStyle w:val="Heading2"/>
      </w:pPr>
      <w:r>
        <w:t>The golden-plates story matches local treasure legends</w:t>
      </w:r>
    </w:p>
    <w:p w14:paraId="14940DE5" w14:textId="77777777" w:rsidR="00A32788" w:rsidRDefault="00000000">
      <w:pPr>
        <w:spacing w:before="20" w:after="90"/>
      </w:pPr>
      <w:r>
        <w:rPr>
          <w:b/>
          <w:bCs/>
          <w:color w:val="7A1F2B"/>
        </w:rPr>
        <w:t xml:space="preserve">Claim.  </w:t>
      </w:r>
      <w:r>
        <w:t>Joseph Smith’s golden-plates story closely matches the buried-treasure and “golden Bible” legends circulating in his area, and he was a documented treasure-digger. The account fits local folklore rather than a unique divine event.</w:t>
      </w:r>
    </w:p>
    <w:p w14:paraId="0EE5B9ED" w14:textId="77777777" w:rsidR="00A32788" w:rsidRDefault="00000000">
      <w:pPr>
        <w:spacing w:before="30" w:after="30"/>
      </w:pPr>
      <w:r>
        <w:rPr>
          <w:b/>
          <w:bCs/>
          <w:color w:val="2E5496"/>
          <w:sz w:val="20"/>
          <w:szCs w:val="20"/>
        </w:rPr>
        <w:t>Substantiation</w:t>
      </w:r>
    </w:p>
    <w:p w14:paraId="1E1A6143" w14:textId="77777777" w:rsidR="00A32788" w:rsidRDefault="00000000">
      <w:pPr>
        <w:numPr>
          <w:ilvl w:val="0"/>
          <w:numId w:val="3"/>
        </w:numPr>
        <w:pBdr>
          <w:top w:val="nil"/>
          <w:left w:val="nil"/>
          <w:bottom w:val="nil"/>
          <w:right w:val="nil"/>
          <w:between w:val="nil"/>
        </w:pBdr>
        <w:spacing w:after="55"/>
      </w:pPr>
      <w:r>
        <w:rPr>
          <w:b/>
          <w:bCs/>
          <w:color w:val="000000"/>
        </w:rPr>
        <w:t xml:space="preserve">The record (outside support). </w:t>
      </w:r>
      <w:r>
        <w:rPr>
          <w:color w:val="000000"/>
        </w:rPr>
        <w:t xml:space="preserve">Joseph’s treasure-seeking is documented in the 1826 Bainbridge, New York court examination and in neighbors’ sworn affidavits (e.g., Willard Chase, 1833), collected in E. D. Howe, </w:t>
      </w:r>
      <w:hyperlink r:id="rId115">
        <w:r w:rsidR="00A32788">
          <w:rPr>
            <w:color w:val="0563C1"/>
            <w:u w:val="single"/>
          </w:rPr>
          <w:t>Mormonism Unvailed</w:t>
        </w:r>
      </w:hyperlink>
      <w:r>
        <w:rPr>
          <w:color w:val="000000"/>
        </w:rPr>
        <w:t xml:space="preserve"> (1834). For the broader folk-magic context, see D. Michael Quinn, </w:t>
      </w:r>
      <w:hyperlink r:id="rId116">
        <w:r w:rsidR="00A32788">
          <w:rPr>
            <w:color w:val="0563C1"/>
            <w:u w:val="single"/>
          </w:rPr>
          <w:t>Early Mormonism and the Magic World View</w:t>
        </w:r>
      </w:hyperlink>
      <w:r>
        <w:rPr>
          <w:color w:val="000000"/>
        </w:rPr>
        <w:t xml:space="preserve"> (1987), and Dan Vogel, </w:t>
      </w:r>
      <w:hyperlink r:id="rId117">
        <w:r w:rsidR="00A32788">
          <w:rPr>
            <w:color w:val="1155CC"/>
            <w:u w:val="single"/>
          </w:rPr>
          <w:t>Early Mormon Documents</w:t>
        </w:r>
      </w:hyperlink>
      <w:r>
        <w:rPr>
          <w:color w:val="000000"/>
        </w:rPr>
        <w:t>.</w:t>
      </w:r>
    </w:p>
    <w:p w14:paraId="75120899" w14:textId="77777777" w:rsidR="00A32788" w:rsidRDefault="00000000">
      <w:pPr>
        <w:spacing w:before="30" w:after="30"/>
      </w:pPr>
      <w:r>
        <w:rPr>
          <w:b/>
          <w:bCs/>
          <w:color w:val="595959"/>
          <w:sz w:val="20"/>
          <w:szCs w:val="20"/>
        </w:rPr>
        <w:t>Counterarguments</w:t>
      </w:r>
    </w:p>
    <w:p w14:paraId="4FE0DDCD" w14:textId="77777777" w:rsidR="00A32788" w:rsidRDefault="00000000">
      <w:pPr>
        <w:numPr>
          <w:ilvl w:val="0"/>
          <w:numId w:val="3"/>
        </w:numPr>
        <w:pBdr>
          <w:top w:val="nil"/>
          <w:left w:val="nil"/>
          <w:bottom w:val="nil"/>
          <w:right w:val="nil"/>
          <w:between w:val="nil"/>
        </w:pBdr>
        <w:spacing w:after="70"/>
      </w:pPr>
      <w:r>
        <w:rPr>
          <w:b/>
          <w:bCs/>
          <w:color w:val="000000"/>
        </w:rPr>
        <w:lastRenderedPageBreak/>
        <w:t xml:space="preserve">“Treasure-seeking was common and doesn’t disprove the plates.” </w:t>
      </w:r>
      <w:r>
        <w:rPr>
          <w:color w:val="000000"/>
        </w:rPr>
        <w:t xml:space="preserve">— It places the plates squarely within the folk-magic world Joseph already inhabited — a world the Church now openly concedes he was part of. </w:t>
      </w:r>
      <w:hyperlink r:id="rId118">
        <w:r w:rsidR="00A32788">
          <w:rPr>
            <w:color w:val="0563C1"/>
            <w:u w:val="single"/>
          </w:rPr>
          <w:t>Book of Mormon Translation essay</w:t>
        </w:r>
      </w:hyperlink>
    </w:p>
    <w:p w14:paraId="00A9E402" w14:textId="77777777" w:rsidR="00A32788" w:rsidRDefault="00000000">
      <w:pPr>
        <w:numPr>
          <w:ilvl w:val="0"/>
          <w:numId w:val="3"/>
        </w:numPr>
        <w:pBdr>
          <w:top w:val="nil"/>
          <w:left w:val="nil"/>
          <w:bottom w:val="nil"/>
          <w:right w:val="nil"/>
          <w:between w:val="nil"/>
        </w:pBdr>
        <w:spacing w:after="70"/>
      </w:pPr>
      <w:r>
        <w:rPr>
          <w:b/>
          <w:bCs/>
          <w:color w:val="000000"/>
        </w:rPr>
        <w:t xml:space="preserve">“Many people lifted the plates and felt their weight and the metal leaves.” </w:t>
      </w:r>
      <w:r>
        <w:rPr>
          <w:color w:val="000000"/>
        </w:rPr>
        <w:t>— Hefting a heavy, cloth-covered object establishes only that something heavy existed — not gold plates engraved in an ancient language. A set of ordinary fabricated metal leaves would feel the same, which is exactly why ‘hefting’ testimony settles little.</w:t>
      </w:r>
    </w:p>
    <w:p w14:paraId="109CCEBC" w14:textId="77777777" w:rsidR="00A32788" w:rsidRDefault="00A32788">
      <w:pPr>
        <w:pBdr>
          <w:bottom w:val="single" w:sz="4" w:space="2" w:color="DDDDDD"/>
        </w:pBdr>
        <w:spacing w:before="60" w:after="60"/>
      </w:pPr>
    </w:p>
    <w:p w14:paraId="6AB3CA01" w14:textId="77777777" w:rsidR="00A32788" w:rsidRDefault="00000000">
      <w:pPr>
        <w:pStyle w:val="Heading2"/>
      </w:pPr>
      <w:r>
        <w:t>The golden plates could not weigh what is claimed</w:t>
      </w:r>
    </w:p>
    <w:p w14:paraId="0E596730" w14:textId="77777777" w:rsidR="00A32788" w:rsidRDefault="00000000">
      <w:pPr>
        <w:spacing w:before="20" w:after="90"/>
      </w:pPr>
      <w:r>
        <w:rPr>
          <w:b/>
          <w:bCs/>
          <w:color w:val="7A1F2B"/>
        </w:rPr>
        <w:t xml:space="preserve">Claim.  </w:t>
      </w:r>
      <w:r>
        <w:t>The plates, described as roughly 6×8×6 inches and 40–60 pounds, would weigh closer to 200 pounds if gold, and Joseph’s account of running two to three miles and fighting off attackers while carrying them under one arm is implausible.</w:t>
      </w:r>
    </w:p>
    <w:p w14:paraId="16D85DED" w14:textId="77777777" w:rsidR="00A32788" w:rsidRDefault="00000000">
      <w:pPr>
        <w:spacing w:before="30" w:after="30"/>
      </w:pPr>
      <w:r>
        <w:rPr>
          <w:b/>
          <w:bCs/>
          <w:color w:val="2E5496"/>
          <w:sz w:val="20"/>
          <w:szCs w:val="20"/>
        </w:rPr>
        <w:t>Substantiation</w:t>
      </w:r>
    </w:p>
    <w:p w14:paraId="05981D80" w14:textId="77777777" w:rsidR="00A32788" w:rsidRDefault="00000000">
      <w:pPr>
        <w:numPr>
          <w:ilvl w:val="0"/>
          <w:numId w:val="3"/>
        </w:numPr>
        <w:pBdr>
          <w:top w:val="nil"/>
          <w:left w:val="nil"/>
          <w:bottom w:val="nil"/>
          <w:right w:val="nil"/>
          <w:between w:val="nil"/>
        </w:pBdr>
        <w:spacing w:after="55"/>
      </w:pPr>
      <w:r>
        <w:rPr>
          <w:b/>
          <w:bCs/>
          <w:color w:val="000000"/>
        </w:rPr>
        <w:t xml:space="preserve">The physics </w:t>
      </w:r>
      <w:r>
        <w:rPr>
          <w:color w:val="000000"/>
        </w:rPr>
        <w:t xml:space="preserve">follows from gold’s density (19.3 g/cm³); the flight is described in Joseph Smith—History 1:59–60. </w:t>
      </w:r>
      <w:hyperlink r:id="rId119">
        <w:r w:rsidR="00A32788">
          <w:rPr>
            <w:color w:val="0563C1"/>
            <w:u w:val="single"/>
          </w:rPr>
          <w:t>Joseph Smith—History</w:t>
        </w:r>
      </w:hyperlink>
    </w:p>
    <w:p w14:paraId="37B06728" w14:textId="77777777" w:rsidR="00A32788" w:rsidRDefault="00000000">
      <w:pPr>
        <w:numPr>
          <w:ilvl w:val="0"/>
          <w:numId w:val="3"/>
        </w:numPr>
        <w:pBdr>
          <w:top w:val="nil"/>
          <w:left w:val="nil"/>
          <w:bottom w:val="nil"/>
          <w:right w:val="nil"/>
          <w:between w:val="nil"/>
        </w:pBdr>
        <w:spacing w:after="55"/>
      </w:pPr>
      <w:r>
        <w:rPr>
          <w:b/>
          <w:bCs/>
          <w:color w:val="000000"/>
        </w:rPr>
        <w:t xml:space="preserve">No precedent. </w:t>
      </w:r>
      <w:r>
        <w:rPr>
          <w:color w:val="000000"/>
        </w:rPr>
        <w:t>No comparable cache of inscribed metal plates recording a civilization’s history has been found anywhere in the ancient Americas, contrary to the book’s account of an extensive plate-based record-keeping tradition.</w:t>
      </w:r>
    </w:p>
    <w:p w14:paraId="05723117" w14:textId="77777777" w:rsidR="00A32788" w:rsidRDefault="00000000">
      <w:pPr>
        <w:numPr>
          <w:ilvl w:val="0"/>
          <w:numId w:val="3"/>
        </w:numPr>
        <w:spacing w:after="60"/>
      </w:pPr>
      <w:r>
        <w:rPr>
          <w:b/>
          <w:bCs/>
        </w:rPr>
        <w:t xml:space="preserve">They were called gold, not merely gold-colored. </w:t>
      </w:r>
      <w:r>
        <w:t>Joseph Smith consistently called them the “gold plates,” the Book of Mormon itself describes a record engraved on plates of “pure gold” (</w:t>
      </w:r>
      <w:hyperlink r:id="rId120">
        <w:r w:rsidR="00A32788">
          <w:rPr>
            <w:color w:val="1155CC"/>
            <w:u w:val="single"/>
          </w:rPr>
          <w:t>Mosiah 8:9</w:t>
        </w:r>
      </w:hyperlink>
      <w:r>
        <w:t xml:space="preserve"> the twenty-four Jaredite plates), and Martin Harris said flatly that “they were of gold” and also said “I knew from the heft that they were lead or gold.” The lighter-alloy idea is a modern rescue the witnesses never offered — their formal statement carefully hedges to only “the appearance of gold,” which cuts both ways: if the plates were truly gold, no one carries roughly 200 pounds while running and fending off attackers; if they were not gold, the “gold plates” at the center of the story were not what they were called.</w:t>
      </w:r>
      <w:hyperlink r:id="rId121">
        <w:r w:rsidR="00A32788">
          <w:t xml:space="preserve"> </w:t>
        </w:r>
      </w:hyperlink>
      <w:hyperlink r:id="rId122">
        <w:r w:rsidR="00A32788">
          <w:rPr>
            <w:color w:val="1155CC"/>
            <w:u w:val="single"/>
          </w:rPr>
          <w:t>Harris 1859 interview with Joel Tiffany</w:t>
        </w:r>
      </w:hyperlink>
      <w:r>
        <w:t xml:space="preserve"> </w:t>
      </w:r>
    </w:p>
    <w:p w14:paraId="08D204BE" w14:textId="77777777" w:rsidR="00A32788" w:rsidRDefault="00000000">
      <w:pPr>
        <w:spacing w:before="30" w:after="30"/>
      </w:pPr>
      <w:r>
        <w:rPr>
          <w:b/>
          <w:bCs/>
          <w:color w:val="595959"/>
          <w:sz w:val="20"/>
          <w:szCs w:val="20"/>
        </w:rPr>
        <w:t>Counterarguments</w:t>
      </w:r>
    </w:p>
    <w:p w14:paraId="7C0CA823" w14:textId="711D1897" w:rsidR="00A32788" w:rsidRDefault="00000000">
      <w:pPr>
        <w:numPr>
          <w:ilvl w:val="0"/>
          <w:numId w:val="3"/>
        </w:numPr>
        <w:pBdr>
          <w:top w:val="nil"/>
          <w:left w:val="nil"/>
          <w:bottom w:val="nil"/>
          <w:right w:val="nil"/>
          <w:between w:val="nil"/>
        </w:pBdr>
        <w:spacing w:after="70"/>
      </w:pPr>
      <w:r>
        <w:rPr>
          <w:b/>
          <w:bCs/>
          <w:color w:val="000000"/>
        </w:rPr>
        <w:t xml:space="preserve">“They were a lighter gold alloy (tumbaga).” </w:t>
      </w:r>
      <w:r>
        <w:rPr>
          <w:color w:val="000000"/>
        </w:rPr>
        <w:t>— It lowers the weight</w:t>
      </w:r>
      <w:r w:rsidR="00D638BF" w:rsidRPr="00D638BF">
        <w:rPr>
          <w:color w:val="000000"/>
        </w:rPr>
        <w:t> (~104–135 lb)</w:t>
      </w:r>
      <w:r w:rsidR="00D638BF">
        <w:rPr>
          <w:color w:val="000000"/>
        </w:rPr>
        <w:t xml:space="preserve"> </w:t>
      </w:r>
      <w:r>
        <w:rPr>
          <w:color w:val="000000"/>
        </w:rPr>
        <w:t xml:space="preserve">but still doesn’t fit running miles with them while fending off attackers; it is a modern conjecture found nowhere in the sources; and tumbaga is itself anachronistic — metallurgy did not reach Mesoamerica until about AD 600, after the Nephite record closes (~AD 421) and over a millennium after Nephi supposedly made plates (~590 BCE). </w:t>
      </w:r>
      <w:r>
        <w:t xml:space="preserve">And the metals the book actually names make it worse: it describes steel swords, iron, and brass, yet no ferrous metallurgy — iron or steel — existed anywhere in the pre-Columbian Americas at all, and the nearest cast metalwork (tumbaga in lower Central America, Panama and Costa Rica) is both far from any proposed heartland and centuries too late. Native peoples did cold-hammer found copper and gold far earlier — around the Great Lakes by roughly 6000 BCE and in the Andes by roughly 2000 BCE — but that is shaping native nuggets, not the smelting, alloying, and steel-making the book portrays. Even Interpreter Foundation apologists concede the metallurgy is “still some 200 years late.” </w:t>
      </w:r>
      <w:r>
        <w:rPr>
          <w:color w:val="000000"/>
        </w:rPr>
        <w:t xml:space="preserve"> </w:t>
      </w:r>
      <w:hyperlink r:id="rId123">
        <w:r w:rsidR="00A32788">
          <w:rPr>
            <w:color w:val="0563C1"/>
            <w:u w:val="single"/>
          </w:rPr>
          <w:t>Mesoamerican metallurgy</w:t>
        </w:r>
      </w:hyperlink>
    </w:p>
    <w:p w14:paraId="0C9B52FC" w14:textId="73445113" w:rsidR="00A32788" w:rsidRDefault="00D638BF" w:rsidP="00745E5D">
      <w:pPr>
        <w:numPr>
          <w:ilvl w:val="0"/>
          <w:numId w:val="3"/>
        </w:numPr>
        <w:pBdr>
          <w:top w:val="nil"/>
          <w:left w:val="nil"/>
          <w:bottom w:val="single" w:sz="4" w:space="2" w:color="DDDDDD"/>
          <w:right w:val="nil"/>
          <w:between w:val="nil"/>
        </w:pBdr>
        <w:spacing w:before="60" w:after="60"/>
      </w:pPr>
      <w:r w:rsidRPr="00745E5D">
        <w:rPr>
          <w:b/>
          <w:bCs/>
        </w:rPr>
        <w:t>"Real hand-hammered plates — gold, tumbaga, or any alloy — would not lie perfectly flat, so the air gaps between irregular leaves lower the effective weight; the stack could be genuine metal and still light enough to carry."</w:t>
      </w:r>
      <w:r w:rsidRPr="00D638BF">
        <w:t xml:space="preserve"> — </w:t>
      </w:r>
      <w:r w:rsidR="00745E5D" w:rsidRPr="00745E5D">
        <w:t xml:space="preserve">This is a fair point, and Latter-day Saint apologists lean on it heavily: FAIR argues the leaf-and-gap structure alone cuts the weight by roughly half. But the air cannot be added for free, because it trades one problem for two. First, it collides with the witnesses' own words. Martin Harris, hefting the covered plates, said he knew "from the heft that they were lead or gold," reasoning that Joseph could not have afforded that much lead — he judged the object to be a large mass of dense metal. Yet the very gaps the argument requires drive the stack's effective density far below either metal: at the reported dimensions (about 6 by 8 inches, up to 6 inches thick) and the witnesses' own </w:t>
      </w:r>
      <w:r w:rsidR="00745E5D" w:rsidRPr="00745E5D">
        <w:lastRenderedPageBreak/>
        <w:t xml:space="preserve">estimate of 40 to 60 pounds, the book-shaped object works out to only about 4 to 6 grams per cubic centimeter — below the density of lead (11.3) and roughly a quarter that of gold (19.3). An object that light for its size cannot heft like the metals Harris named. The apologetic cannot have it both ways: the plates were either dense enough to feel like lead or gold — in which case a stack that size weighs 120 to 200 pounds and is far too heavy to carry, run with, and conceal as the accounts describe — or light enough to carry, in which case they were nowhere near the heft Harris reported. Every pocket of air added to solve the carrying problem widens the gap with what the witnesses said they felt. Second, the air is not free on the text side either. The English text runs to roughly 270,000 words (not including the 116 pages from the book of Lehi), and by the witnesses' accounts only the unsealed portion — commonly estimated at a third or less of the stack — was ever translated. The more air introduced between leaves, and the thinner each leaf is hammered, the fewer engraved surfaces remain to hold that text, forcing more characters onto each surviving face. But the leaves cannot be thinned without limit: they are already described as "not quite so thick as common tin," or “as thick as a pane of glass” and each was engraved on both sides, which sets a floor on how thin an engravable plate can be before the two sides interfere. Pushed far enough to yield a comfortably carriable weight, the packing argument drives the required engraving density on the unsealed leaves toward what hand-cut metal characters can plausibly hold. Neither objection depends on the plates being pure gold; both apply equally to tumbaga. Heft is an impression rather than a measurement, and the sealed fraction and the script's compactness are not precisely known — so this is best read not as a single knockout but as a vise: the lighter the plates are made to fit the "carriable" accounts, the harder they are to square with the "heavy as lead or gold" accounts and with the sheer volume of text they had to bear. </w:t>
      </w:r>
      <w:hyperlink r:id="rId124" w:history="1">
        <w:r w:rsidR="00745E5D" w:rsidRPr="00745E5D">
          <w:rPr>
            <w:rStyle w:val="Hyperlink"/>
          </w:rPr>
          <w:t>FAIR Weight and Size of Gold Plates</w:t>
        </w:r>
      </w:hyperlink>
      <w:r w:rsidR="00745E5D" w:rsidRPr="00745E5D">
        <w:t xml:space="preserve"> - </w:t>
      </w:r>
      <w:hyperlink r:id="rId125" w:anchor="content-faq-sub-3" w:history="1">
        <w:r w:rsidR="00745E5D" w:rsidRPr="00745E5D">
          <w:rPr>
            <w:rStyle w:val="Hyperlink"/>
          </w:rPr>
          <w:t>Eyewitness Descriptions of the Gold Plates</w:t>
        </w:r>
      </w:hyperlink>
      <w:r w:rsidR="00745E5D" w:rsidRPr="00745E5D">
        <w:t xml:space="preserve"> - </w:t>
      </w:r>
      <w:hyperlink r:id="rId126" w:history="1">
        <w:r w:rsidR="00745E5D" w:rsidRPr="00745E5D">
          <w:rPr>
            <w:rStyle w:val="Hyperlink"/>
          </w:rPr>
          <w:t>Harris 1859 interview with Joel Tiffany</w:t>
        </w:r>
      </w:hyperlink>
    </w:p>
    <w:p w14:paraId="32210459" w14:textId="77777777" w:rsidR="00745E5D" w:rsidRDefault="00745E5D" w:rsidP="00745E5D">
      <w:pPr>
        <w:pBdr>
          <w:top w:val="nil"/>
          <w:left w:val="nil"/>
          <w:bottom w:val="single" w:sz="4" w:space="2" w:color="DDDDDD"/>
          <w:right w:val="nil"/>
          <w:between w:val="nil"/>
        </w:pBdr>
        <w:spacing w:before="60" w:after="60"/>
        <w:ind w:left="200"/>
      </w:pPr>
    </w:p>
    <w:p w14:paraId="3DCB4239" w14:textId="77777777" w:rsidR="00A32788" w:rsidRDefault="00000000">
      <w:pPr>
        <w:pStyle w:val="Heading2"/>
      </w:pPr>
      <w:r>
        <w:t>He tried to translate a known hoax</w:t>
      </w:r>
    </w:p>
    <w:p w14:paraId="39B852C8" w14:textId="77777777" w:rsidR="00A32788" w:rsidRDefault="00000000">
      <w:pPr>
        <w:spacing w:before="20" w:after="90"/>
      </w:pPr>
      <w:r>
        <w:rPr>
          <w:b/>
          <w:bCs/>
          <w:color w:val="7A1F2B"/>
        </w:rPr>
        <w:t xml:space="preserve">Claim.  </w:t>
      </w:r>
      <w:r>
        <w:t>Joseph began translating the Kinderhook Plates, which were a deliberate fabrication made by local men. A real translating gift would not have produced content from forged plates.</w:t>
      </w:r>
    </w:p>
    <w:p w14:paraId="6F4CA6D5" w14:textId="77777777" w:rsidR="00A32788" w:rsidRDefault="00000000">
      <w:pPr>
        <w:spacing w:before="30" w:after="30"/>
      </w:pPr>
      <w:r>
        <w:rPr>
          <w:b/>
          <w:bCs/>
          <w:color w:val="2E5496"/>
          <w:sz w:val="20"/>
          <w:szCs w:val="20"/>
        </w:rPr>
        <w:t>Substantiation</w:t>
      </w:r>
    </w:p>
    <w:p w14:paraId="6AA933F6" w14:textId="77777777" w:rsidR="00A32788" w:rsidRDefault="00000000">
      <w:pPr>
        <w:numPr>
          <w:ilvl w:val="0"/>
          <w:numId w:val="3"/>
        </w:numPr>
        <w:pBdr>
          <w:top w:val="nil"/>
          <w:left w:val="nil"/>
          <w:bottom w:val="nil"/>
          <w:right w:val="nil"/>
          <w:between w:val="nil"/>
        </w:pBdr>
        <w:spacing w:after="55"/>
      </w:pPr>
      <w:r>
        <w:rPr>
          <w:b/>
          <w:bCs/>
          <w:color w:val="000000"/>
        </w:rPr>
        <w:t xml:space="preserve">The Church </w:t>
      </w:r>
      <w:r>
        <w:rPr>
          <w:color w:val="000000"/>
        </w:rPr>
        <w:t xml:space="preserve">calls them a hoax; his scribe William Clayton recorded Joseph saying they told of “a descendant of Ham.” </w:t>
      </w:r>
      <w:hyperlink r:id="rId127">
        <w:r w:rsidR="00A32788">
          <w:rPr>
            <w:color w:val="0563C1"/>
            <w:u w:val="single"/>
          </w:rPr>
          <w:t>Kinderhook Plates</w:t>
        </w:r>
      </w:hyperlink>
    </w:p>
    <w:p w14:paraId="783B447F" w14:textId="77777777" w:rsidR="00A32788" w:rsidRDefault="00000000">
      <w:pPr>
        <w:spacing w:before="30" w:after="30"/>
      </w:pPr>
      <w:r>
        <w:rPr>
          <w:b/>
          <w:bCs/>
          <w:color w:val="595959"/>
          <w:sz w:val="20"/>
          <w:szCs w:val="20"/>
        </w:rPr>
        <w:t>Counterarguments</w:t>
      </w:r>
    </w:p>
    <w:p w14:paraId="14BFBE11" w14:textId="77777777" w:rsidR="00A32788" w:rsidRDefault="00000000">
      <w:pPr>
        <w:numPr>
          <w:ilvl w:val="0"/>
          <w:numId w:val="3"/>
        </w:numPr>
        <w:pBdr>
          <w:top w:val="nil"/>
          <w:left w:val="nil"/>
          <w:bottom w:val="nil"/>
          <w:right w:val="nil"/>
          <w:between w:val="nil"/>
        </w:pBdr>
        <w:spacing w:after="70"/>
      </w:pPr>
      <w:r>
        <w:rPr>
          <w:b/>
          <w:bCs/>
          <w:color w:val="000000"/>
        </w:rPr>
        <w:t xml:space="preserve">“He gave no prophetic translation, only a secular attempt using his Egyptian alphabet.” </w:t>
      </w:r>
      <w:r>
        <w:rPr>
          <w:color w:val="000000"/>
        </w:rPr>
        <w:t xml:space="preserve">— </w:t>
      </w:r>
      <w:r>
        <w:t>That still ties him to the same flawed Egyptian-alphabet method behind the Book of Abraham, and his own scribe William Clayton recorded in his journal that “President Joseph has translated a portion” of the Kinderhook plates.</w:t>
      </w:r>
      <w:hyperlink r:id="rId128">
        <w:r w:rsidR="00A32788">
          <w:t xml:space="preserve"> </w:t>
        </w:r>
      </w:hyperlink>
      <w:hyperlink r:id="rId129">
        <w:r w:rsidR="00A32788">
          <w:rPr>
            <w:color w:val="1155CC"/>
            <w:u w:val="single"/>
          </w:rPr>
          <w:t>Did Joseph Smith Translate the Kinderhook Plates? (BYU RSC)</w:t>
        </w:r>
      </w:hyperlink>
      <w:r>
        <w:br w:type="page"/>
      </w:r>
    </w:p>
    <w:p w14:paraId="1AEB4475" w14:textId="77777777" w:rsidR="00A32788" w:rsidRDefault="00000000">
      <w:pPr>
        <w:pStyle w:val="Heading1"/>
      </w:pPr>
      <w:r>
        <w:lastRenderedPageBreak/>
        <w:t>4. The Pattern of Post-Hoc Revelation</w:t>
      </w:r>
    </w:p>
    <w:p w14:paraId="4EADEB69" w14:textId="77777777" w:rsidR="00A32788" w:rsidRDefault="00000000">
      <w:pPr>
        <w:spacing w:before="20" w:after="90"/>
      </w:pPr>
      <w:r>
        <w:rPr>
          <w:b/>
          <w:bCs/>
          <w:color w:val="7A1F2B"/>
        </w:rPr>
        <w:t xml:space="preserve">Claim.  </w:t>
      </w:r>
      <w:r>
        <w:t>Across Joseph Smith’s career, one sequence recurs: a problem, a desire, or an embarrassment arises, and a revelation follows that authorizes, excuses, or retroactively explains it. Taken one at a time, each instance has a defense. Taken together, they show revelation functioning less as prior divine command than as after-the-fact justification.</w:t>
      </w:r>
    </w:p>
    <w:p w14:paraId="012CE9C0" w14:textId="77777777" w:rsidR="00A32788" w:rsidRDefault="00000000">
      <w:pPr>
        <w:spacing w:before="30" w:after="30"/>
      </w:pPr>
      <w:r>
        <w:rPr>
          <w:b/>
          <w:bCs/>
          <w:color w:val="2E5496"/>
          <w:sz w:val="20"/>
          <w:szCs w:val="20"/>
        </w:rPr>
        <w:t>Substantiation</w:t>
      </w:r>
    </w:p>
    <w:p w14:paraId="33100C9E" w14:textId="77777777" w:rsidR="00A32788" w:rsidRDefault="00000000">
      <w:pPr>
        <w:numPr>
          <w:ilvl w:val="0"/>
          <w:numId w:val="3"/>
        </w:numPr>
        <w:spacing w:after="120"/>
      </w:pPr>
      <w:r>
        <w:rPr>
          <w:b/>
          <w:bCs/>
        </w:rPr>
        <w:t xml:space="preserve">The lost 116 pages. </w:t>
      </w:r>
      <w:r>
        <w:t>After Martin Harris lost the 116-page Book of Lehi manuscript in 1828, Joseph could not simply re-translate it: a revelation explained that wicked men had altered the stolen copy and would use any discrepancy to expose him (</w:t>
      </w:r>
      <w:hyperlink r:id="rId130">
        <w:r w:rsidR="00A32788">
          <w:rPr>
            <w:color w:val="1155CC"/>
            <w:u w:val="single"/>
          </w:rPr>
          <w:t>D&amp;C 10</w:t>
        </w:r>
      </w:hyperlink>
      <w:r>
        <w:t>). The remedy was that God had foreseen the loss some 2,400 years earlier and had commanded Nephi to engrave a second, redundant record — the “small plates” (1 Nephi–Omni) — “for a wise purpose in him, which purpose I know not” (</w:t>
      </w:r>
      <w:hyperlink r:id="rId131">
        <w:r w:rsidR="00A32788">
          <w:rPr>
            <w:color w:val="1155CC"/>
            <w:u w:val="single"/>
          </w:rPr>
          <w:t>1 Nephi 9:5</w:t>
        </w:r>
      </w:hyperlink>
      <w:r>
        <w:t xml:space="preserve">). The wise purpose turns out to be precisely the 1828 mishap. Even believing scholars agree the “small plates” were dictated </w:t>
      </w:r>
      <w:r>
        <w:rPr>
          <w:i/>
          <w:iCs/>
        </w:rPr>
        <w:t>after</w:t>
      </w:r>
      <w:r>
        <w:t xml:space="preserve"> the loss and inserted at the front of the book. </w:t>
      </w:r>
      <w:hyperlink r:id="rId132">
        <w:r w:rsidR="00A32788">
          <w:rPr>
            <w:color w:val="1155CC"/>
            <w:u w:val="single"/>
          </w:rPr>
          <w:t>How Does the “Mosiah-First” Translation Sequence Strengthen Faith?</w:t>
        </w:r>
      </w:hyperlink>
    </w:p>
    <w:p w14:paraId="09C0E723" w14:textId="77777777" w:rsidR="00A32788" w:rsidRDefault="00000000">
      <w:pPr>
        <w:numPr>
          <w:ilvl w:val="0"/>
          <w:numId w:val="3"/>
        </w:numPr>
        <w:spacing w:after="120"/>
      </w:pPr>
      <w:r>
        <w:rPr>
          <w:b/>
          <w:bCs/>
        </w:rPr>
        <w:t xml:space="preserve">Plural marriage. </w:t>
      </w:r>
      <w:r>
        <w:t>Joseph was sealed to numerous women before the revelation authorizing plural marriage was recorded in July 1843 (</w:t>
      </w:r>
      <w:hyperlink r:id="rId133">
        <w:r w:rsidR="00A32788">
          <w:rPr>
            <w:color w:val="1155CC"/>
            <w:u w:val="single"/>
          </w:rPr>
          <w:t>D&amp;C 132</w:t>
        </w:r>
      </w:hyperlink>
      <w:r>
        <w:t>) — and that revelation turns to address Emma directly, commanding her to accept the practice under threat of destruction (vv. 51–56). The conduct came first; the authorization followed by roughly a decade.</w:t>
      </w:r>
    </w:p>
    <w:p w14:paraId="486FF19C" w14:textId="77777777" w:rsidR="00A32788" w:rsidRDefault="00000000">
      <w:pPr>
        <w:numPr>
          <w:ilvl w:val="0"/>
          <w:numId w:val="3"/>
        </w:numPr>
        <w:spacing w:after="120"/>
      </w:pPr>
      <w:r>
        <w:rPr>
          <w:b/>
          <w:bCs/>
        </w:rPr>
        <w:t xml:space="preserve">The priesthood restoration. </w:t>
      </w:r>
      <w:r>
        <w:t>The visitation of Peter, James, and John appears in no contemporary 1829 source; it was written into an already-published 1830 revelation only in the 1835 Doctrine and Covenants (see the later discussion of the priesthood-restoration account). The authority was documented years after the events it purports to describe.</w:t>
      </w:r>
    </w:p>
    <w:p w14:paraId="0994BF3C" w14:textId="77777777" w:rsidR="00A32788" w:rsidRDefault="00000000">
      <w:pPr>
        <w:numPr>
          <w:ilvl w:val="0"/>
          <w:numId w:val="3"/>
        </w:numPr>
        <w:spacing w:after="120"/>
      </w:pPr>
      <w:r>
        <w:rPr>
          <w:b/>
          <w:bCs/>
        </w:rPr>
        <w:t xml:space="preserve">The endowment. </w:t>
      </w:r>
      <w:r>
        <w:t>Joseph was initiated as a Master Mason in March 1842 and introduced the temple endowment — which shares Masonry’s signs, grips, and penalties — seven weeks later, then reframed the borrowed ceremony as the restoration of an ordinance older than Solomon (see the section on Freemasonry). The ritual was adopted first and sacralized as ancient afterward.</w:t>
      </w:r>
    </w:p>
    <w:p w14:paraId="2A791C97" w14:textId="77777777" w:rsidR="00A32788" w:rsidRDefault="00000000">
      <w:pPr>
        <w:numPr>
          <w:ilvl w:val="0"/>
          <w:numId w:val="3"/>
        </w:numPr>
        <w:spacing w:after="120"/>
      </w:pPr>
      <w:r>
        <w:rPr>
          <w:b/>
          <w:bCs/>
        </w:rPr>
        <w:t xml:space="preserve">Tithing. </w:t>
      </w:r>
      <w:r>
        <w:t>The 1831 law of consecration (</w:t>
      </w:r>
      <w:hyperlink r:id="rId134">
        <w:r w:rsidR="00A32788">
          <w:rPr>
            <w:color w:val="1155CC"/>
            <w:u w:val="single"/>
          </w:rPr>
          <w:t>D&amp;C 42</w:t>
        </w:r>
      </w:hyperlink>
      <w:r>
        <w:t>) was revealed as the economic order of the Kingdom; it collapsed within a few years, and a new revelation in 1838 quietly replaced it with a manageable ten percent (</w:t>
      </w:r>
      <w:hyperlink r:id="rId135">
        <w:r w:rsidR="00A32788">
          <w:rPr>
            <w:color w:val="1155CC"/>
            <w:u w:val="single"/>
          </w:rPr>
          <w:t>D&amp;C 119</w:t>
        </w:r>
      </w:hyperlink>
      <w:r>
        <w:t>).</w:t>
      </w:r>
    </w:p>
    <w:p w14:paraId="034AA4C0" w14:textId="77777777" w:rsidR="00A32788" w:rsidRDefault="00000000">
      <w:pPr>
        <w:numPr>
          <w:ilvl w:val="0"/>
          <w:numId w:val="3"/>
        </w:numPr>
        <w:spacing w:after="120"/>
      </w:pPr>
      <w:r>
        <w:rPr>
          <w:b/>
          <w:bCs/>
        </w:rPr>
        <w:t xml:space="preserve">The Manifesto (1890) and the priesthood revelation (1978). </w:t>
      </w:r>
      <w:r>
        <w:t>The revelation ending polygamy arrived as federal law was dissolving the Church corporation and seizing its property (</w:t>
      </w:r>
      <w:hyperlink r:id="rId136">
        <w:r w:rsidR="00A32788">
          <w:rPr>
            <w:color w:val="1155CC"/>
            <w:u w:val="single"/>
          </w:rPr>
          <w:t>Official Declaration 1</w:t>
        </w:r>
      </w:hyperlink>
      <w:r>
        <w:t>); the revelation lifting the priesthood and temple ban on Black members arrived amid civil-rights pressure, litigation, and the impossibility of the announced Brazil temple (</w:t>
      </w:r>
      <w:hyperlink r:id="rId137">
        <w:r w:rsidR="00A32788">
          <w:rPr>
            <w:color w:val="1155CC"/>
            <w:u w:val="single"/>
          </w:rPr>
          <w:t>Official Declaration 2</w:t>
        </w:r>
      </w:hyperlink>
      <w:r>
        <w:t>). In each, the revelation resolved an existential crisis at the very moment the prior position had become untenable.</w:t>
      </w:r>
    </w:p>
    <w:p w14:paraId="619F0FB2" w14:textId="77777777" w:rsidR="00A32788" w:rsidRDefault="00000000">
      <w:pPr>
        <w:numPr>
          <w:ilvl w:val="0"/>
          <w:numId w:val="3"/>
        </w:numPr>
        <w:spacing w:after="120"/>
      </w:pPr>
      <w:r>
        <w:rPr>
          <w:b/>
          <w:bCs/>
        </w:rPr>
        <w:t xml:space="preserve">And others. </w:t>
      </w:r>
      <w:r>
        <w:t>The same shape recurs in lesser episodes — the Kirtland Safety Society’s divine favor announced as Joseph launched a bank that soon failed, or the Canadian copyright revelation that promised success, went unfulfilled, and was later explained as possibly “of man” — but the six cases above are the clearest.</w:t>
      </w:r>
    </w:p>
    <w:p w14:paraId="2E2A177A" w14:textId="77777777" w:rsidR="00A32788" w:rsidRDefault="00000000">
      <w:pPr>
        <w:spacing w:before="30" w:after="30"/>
      </w:pPr>
      <w:r>
        <w:rPr>
          <w:b/>
          <w:bCs/>
          <w:color w:val="595959"/>
          <w:sz w:val="20"/>
          <w:szCs w:val="20"/>
        </w:rPr>
        <w:t>Counterarguments</w:t>
      </w:r>
    </w:p>
    <w:p w14:paraId="1FD37ECF" w14:textId="77777777" w:rsidR="00A32788" w:rsidRDefault="00000000">
      <w:pPr>
        <w:numPr>
          <w:ilvl w:val="0"/>
          <w:numId w:val="3"/>
        </w:numPr>
        <w:pBdr>
          <w:top w:val="nil"/>
          <w:left w:val="nil"/>
          <w:bottom w:val="nil"/>
          <w:right w:val="nil"/>
          <w:between w:val="nil"/>
        </w:pBdr>
        <w:spacing w:after="70"/>
      </w:pPr>
      <w:r>
        <w:rPr>
          <w:b/>
          <w:bCs/>
        </w:rPr>
        <w:t xml:space="preserve">“Revelation that responds to real circumstances is exactly what believers should expect — God answers prayers about genuine problems, so an answer arriving when it is needed describes normal faith, not fraud.” </w:t>
      </w:r>
      <w:r>
        <w:t xml:space="preserve">— This is the strongest reply, and timing alone proves nothing. But the pattern here is narrower. In case after case the revelation resolves a difficulty Joseph himself created or wished away, authorizes something already done rather than commanding it beforehand, and in the strongest instances claims retroactive foreknowledge — a record engraved millennia in advance, an ordination inserted into an earlier text. A God answering prayer need not reach back 2,400 years to pre-solve a </w:t>
      </w:r>
      <w:r>
        <w:lastRenderedPageBreak/>
        <w:t>scribe’s carelessness, reveal a marriage law only after the marriages, or disclose a bank’s divine favor only once it had been founded. When all three features recur together, “reverse-engineered from the need” explains the evidence more economically than “foreseen and commanded.”</w:t>
      </w:r>
    </w:p>
    <w:p w14:paraId="0FB49CB9" w14:textId="77777777" w:rsidR="00A32788" w:rsidRDefault="00000000">
      <w:pPr>
        <w:numPr>
          <w:ilvl w:val="0"/>
          <w:numId w:val="3"/>
        </w:numPr>
        <w:spacing w:after="160"/>
        <w:rPr>
          <w:b/>
          <w:bCs/>
        </w:rPr>
      </w:pPr>
      <w:r>
        <w:rPr>
          <w:b/>
          <w:bCs/>
        </w:rPr>
        <w:t xml:space="preserve">“This could be said of any answered prayer; it is an unfalsifiable accusation.” </w:t>
      </w:r>
      <w:r>
        <w:t>— On the contrary, the claim is testable, and for the believer it fails the test. Genuine prior guidance would sometimes constrain Joseph against his own interests, require costly things he did not already want, or predict specifics that later verified independently. What appears instead is a consistent direction: revelations that enlarge his authority, excuse his conduct, or secure others’ compliance. A neutral source of guidance would not so reliably favor the one receiving it — and that one-sidedness is itself the evidence.</w:t>
      </w:r>
    </w:p>
    <w:p w14:paraId="1EED30AA" w14:textId="77777777" w:rsidR="00A32788" w:rsidRDefault="00000000">
      <w:pPr>
        <w:pStyle w:val="Heading1"/>
      </w:pPr>
      <w:bookmarkStart w:id="0" w:name="_grfr7q7aazeu" w:colFirst="0" w:colLast="0"/>
      <w:bookmarkEnd w:id="0"/>
      <w:r>
        <w:t>5. The witnesses do not establish the plates were real</w:t>
      </w:r>
    </w:p>
    <w:p w14:paraId="0C7099DE" w14:textId="77777777" w:rsidR="00A32788" w:rsidRDefault="00000000">
      <w:pPr>
        <w:spacing w:before="20" w:after="90"/>
      </w:pPr>
      <w:r>
        <w:rPr>
          <w:b/>
          <w:bCs/>
          <w:color w:val="7A1F2B"/>
        </w:rPr>
        <w:t xml:space="preserve">Claim.  </w:t>
      </w:r>
      <w:r>
        <w:t>The Book of Mormon witnesses are offered as proof of physical golden plates, but the Three Witnesses described seeing them “by faith” or in vision, and the very same kind of sworn witness statement was later produced for James Strang’s “Voree Plates,” which were proven forgeries. Such testimony is not reliable evidence of a physical object.</w:t>
      </w:r>
    </w:p>
    <w:p w14:paraId="56CB7E4A" w14:textId="77777777" w:rsidR="00A32788" w:rsidRDefault="00000000">
      <w:pPr>
        <w:spacing w:before="30" w:after="30"/>
      </w:pPr>
      <w:r>
        <w:rPr>
          <w:b/>
          <w:bCs/>
          <w:color w:val="2E5496"/>
          <w:sz w:val="20"/>
          <w:szCs w:val="20"/>
        </w:rPr>
        <w:t>Substantiation</w:t>
      </w:r>
    </w:p>
    <w:p w14:paraId="57B8AFE7" w14:textId="77777777" w:rsidR="00A32788" w:rsidRDefault="00000000">
      <w:pPr>
        <w:numPr>
          <w:ilvl w:val="0"/>
          <w:numId w:val="3"/>
        </w:numPr>
        <w:spacing w:after="55"/>
      </w:pPr>
      <w:r>
        <w:rPr>
          <w:b/>
          <w:bCs/>
        </w:rPr>
        <w:t xml:space="preserve">David Whitmer’s </w:t>
      </w:r>
      <w:r>
        <w:t xml:space="preserve">1887 “Address to All Believers in Christ” describes a spiritual manner of seeing; the testimonies are printed in every Book of Mormon. </w:t>
      </w:r>
      <w:hyperlink r:id="rId138">
        <w:r w:rsidR="00A32788">
          <w:rPr>
            <w:color w:val="0563C1"/>
            <w:u w:val="single"/>
          </w:rPr>
          <w:t>Testimony of the Witnesses</w:t>
        </w:r>
      </w:hyperlink>
    </w:p>
    <w:p w14:paraId="634114A5" w14:textId="77777777" w:rsidR="00A32788" w:rsidRDefault="00000000">
      <w:pPr>
        <w:numPr>
          <w:ilvl w:val="0"/>
          <w:numId w:val="3"/>
        </w:numPr>
        <w:spacing w:after="55"/>
      </w:pPr>
      <w:r>
        <w:rPr>
          <w:b/>
          <w:bCs/>
        </w:rPr>
        <w:t>James Strang produced his own buried “plates”</w:t>
      </w:r>
      <w:r>
        <w:t xml:space="preserve"> in 1845, “translated” them, and, deliberately copying Joseph’s method, had four men sign a statement that they dug them from undisturbed ground. They were later shown to be forgeries — a Strang associate admitted he and Strang made them from a brass kettle, and an insider to Strang’s later “Plates of Laban,” Samuel Graham, likewise claimed he helped manufacture those. One of the Three Witnesses, Martin Harris, embraced Strang’s movement and served a Strangite mission; Strang’s own newspaper claimed more of the Book of Mormon witnesses, but that is disputed, and neither David Whitmer nor Oliver Cowdery joined him.  </w:t>
      </w:r>
      <w:hyperlink r:id="rId139">
        <w:r w:rsidR="00A32788">
          <w:rPr>
            <w:color w:val="0563C1"/>
            <w:u w:val="single"/>
          </w:rPr>
          <w:t>A Witness in England (BYU Studies)</w:t>
        </w:r>
      </w:hyperlink>
    </w:p>
    <w:p w14:paraId="52C1F514" w14:textId="77777777" w:rsidR="00A32788" w:rsidRDefault="00000000">
      <w:pPr>
        <w:numPr>
          <w:ilvl w:val="0"/>
          <w:numId w:val="3"/>
        </w:numPr>
        <w:spacing w:after="55"/>
      </w:pPr>
      <w:r>
        <w:rPr>
          <w:b/>
          <w:bCs/>
        </w:rPr>
        <w:t xml:space="preserve">The witnesses were not neutral or cautious observers. </w:t>
      </w:r>
      <w:r>
        <w:t>The eleven were bound to Joseph by family, money, and faith — the Whitmers, the Smiths, and Martin Harris, who mortgaged his farm to pay for the book — and several shared Joseph’s folk-magic, “second sight” world. Harris in particular reported a lifetime of visions: he later said he had seen and talked with Jesus (who, he said, walked beside him in the form of a deer) and with the devil, and he followed in turn Strang, the Shakers, and other movements (the deer account is reported in Rev. John A. Clark’s 1840 letter, Early Mormon Documents 2:271). These are not the detached, skeptical witnesses their testimony is often assumed to be.</w:t>
      </w:r>
      <w:hyperlink r:id="rId140">
        <w:r w:rsidR="00A32788">
          <w:t xml:space="preserve"> </w:t>
        </w:r>
      </w:hyperlink>
      <w:hyperlink r:id="rId141">
        <w:r w:rsidR="00A32788">
          <w:rPr>
            <w:color w:val="1155CC"/>
            <w:u w:val="single"/>
          </w:rPr>
          <w:t>Martin Harris’s visionary reputation (FAIR)</w:t>
        </w:r>
      </w:hyperlink>
      <w:r>
        <w:t>.</w:t>
      </w:r>
    </w:p>
    <w:p w14:paraId="75E3D2C2" w14:textId="77777777" w:rsidR="00A32788" w:rsidRDefault="00000000">
      <w:pPr>
        <w:numPr>
          <w:ilvl w:val="0"/>
          <w:numId w:val="3"/>
        </w:numPr>
        <w:spacing w:after="60"/>
      </w:pPr>
      <w:r>
        <w:rPr>
          <w:b/>
          <w:bCs/>
        </w:rPr>
        <w:t xml:space="preserve">The one ‘expert verification’ collapsed. </w:t>
      </w:r>
      <w:r>
        <w:t>The Church cites Professor Charles Anthon of Columbia as confirming the “reformed Egyptian” characters Martin Harris carried to him (</w:t>
      </w:r>
      <w:hyperlink r:id="rId142">
        <w:r w:rsidR="00A32788">
          <w:rPr>
            <w:color w:val="1155CC"/>
            <w:u w:val="single"/>
          </w:rPr>
          <w:t>Joseph Smith—History 1:64-65</w:t>
        </w:r>
      </w:hyperlink>
      <w:r>
        <w:t>). Anthon told the opposite story: in letters of 1834 and 1841 he said he gave no endorsement, judged the characters a hoax, and warned Harris he was being defrauded. Even by Harris’s own account, Anthon first wrote a certificate of authenticity and then tore it up upon learning the source was an angel and gold plates. Either version defeats the claim of expert confirmation.</w:t>
      </w:r>
    </w:p>
    <w:p w14:paraId="40195C28" w14:textId="77777777" w:rsidR="00A32788" w:rsidRDefault="00000000">
      <w:pPr>
        <w:numPr>
          <w:ilvl w:val="0"/>
          <w:numId w:val="3"/>
        </w:numPr>
        <w:spacing w:after="60"/>
      </w:pPr>
      <w:r>
        <w:rPr>
          <w:b/>
          <w:bCs/>
        </w:rPr>
        <w:t>The detail came decades later.</w:t>
      </w:r>
      <w:r>
        <w:t xml:space="preserve"> The bare testimonies are early (1830), but nearly all the vivid, oft-quoted detail — the log, the light "brighter than the sun," the table bearing the sword of Laban and other relics, the voice of God, the "spiritual eye" — comes from interviews recorded 30 to 60 years afterward, chiefly David Whitmer's in the 1870s–1880s and Martin Harris's from 1859 on, and these late accounts openly conflict (natural eyes or spiritual? one angel or the whole scene?). A memory retold for half a century inside a committed community is exactly where circumstantial detail hardens and grows </w:t>
      </w:r>
      <w:r>
        <w:lastRenderedPageBreak/>
        <w:t xml:space="preserve">— so the features that make the accounts feel like hard evidence are the least contemporaneous parts of them. </w:t>
      </w:r>
    </w:p>
    <w:p w14:paraId="27F131CA" w14:textId="77777777" w:rsidR="00A32788" w:rsidRDefault="00000000">
      <w:pPr>
        <w:numPr>
          <w:ilvl w:val="0"/>
          <w:numId w:val="3"/>
        </w:numPr>
        <w:spacing w:after="60"/>
      </w:pPr>
      <w:r>
        <w:rPr>
          <w:b/>
          <w:bCs/>
        </w:rPr>
        <w:t>See</w:t>
      </w:r>
      <w:r>
        <w:t xml:space="preserve"> </w:t>
      </w:r>
      <w:hyperlink r:id="rId143">
        <w:r w:rsidR="00A32788">
          <w:rPr>
            <w:color w:val="1155CC"/>
            <w:u w:val="single"/>
          </w:rPr>
          <w:t>Witnesses of the Book of Mormon</w:t>
        </w:r>
      </w:hyperlink>
      <w:r>
        <w:t xml:space="preserve"> - </w:t>
      </w:r>
      <w:hyperlink r:id="rId144">
        <w:r w:rsidR="00A32788">
          <w:rPr>
            <w:color w:val="1155CC"/>
            <w:u w:val="single"/>
          </w:rPr>
          <w:t>Experiences of the Three Witnesses</w:t>
        </w:r>
      </w:hyperlink>
      <w:r>
        <w:t xml:space="preserve"> - </w:t>
      </w:r>
      <w:hyperlink r:id="rId145">
        <w:r w:rsidR="00A32788">
          <w:rPr>
            <w:color w:val="1155CC"/>
            <w:u w:val="single"/>
          </w:rPr>
          <w:t>David Whitmer statements</w:t>
        </w:r>
      </w:hyperlink>
      <w:r>
        <w:t xml:space="preserve"> - </w:t>
      </w:r>
      <w:hyperlink r:id="rId146">
        <w:r w:rsidR="00A32788">
          <w:rPr>
            <w:color w:val="1155CC"/>
            <w:u w:val="single"/>
          </w:rPr>
          <w:t>Martin Harris statements</w:t>
        </w:r>
      </w:hyperlink>
      <w:r>
        <w:t xml:space="preserve"> - </w:t>
      </w:r>
      <w:hyperlink r:id="rId147">
        <w:r w:rsidR="00A32788">
          <w:rPr>
            <w:color w:val="1155CC"/>
            <w:u w:val="single"/>
          </w:rPr>
          <w:t>Book of Mormon Evidence: David Whitmer</w:t>
        </w:r>
      </w:hyperlink>
      <w:r>
        <w:t xml:space="preserve"> - </w:t>
      </w:r>
      <w:hyperlink r:id="rId148">
        <w:r w:rsidR="00A32788">
          <w:rPr>
            <w:color w:val="1155CC"/>
            <w:u w:val="single"/>
          </w:rPr>
          <w:t>Harris 1859 interview with Joel Tiffany</w:t>
        </w:r>
      </w:hyperlink>
      <w:r>
        <w:t xml:space="preserve"> - </w:t>
      </w:r>
      <w:hyperlink r:id="rId149">
        <w:r w:rsidR="00A32788">
          <w:rPr>
            <w:color w:val="1155CC"/>
            <w:u w:val="single"/>
          </w:rPr>
          <w:t>An Address to All Believers in Christ (David Whitmer)</w:t>
        </w:r>
      </w:hyperlink>
    </w:p>
    <w:p w14:paraId="6B0FE241" w14:textId="77777777" w:rsidR="00A32788" w:rsidRDefault="00000000">
      <w:pPr>
        <w:spacing w:before="30" w:after="30"/>
      </w:pPr>
      <w:r>
        <w:rPr>
          <w:b/>
          <w:bCs/>
          <w:color w:val="595959"/>
          <w:sz w:val="20"/>
          <w:szCs w:val="20"/>
        </w:rPr>
        <w:t>Counterarguments</w:t>
      </w:r>
    </w:p>
    <w:p w14:paraId="5B67C994" w14:textId="77777777" w:rsidR="00A32788" w:rsidRDefault="00000000">
      <w:pPr>
        <w:numPr>
          <w:ilvl w:val="0"/>
          <w:numId w:val="3"/>
        </w:numPr>
        <w:spacing w:after="70"/>
      </w:pPr>
      <w:r>
        <w:rPr>
          <w:b/>
          <w:bCs/>
        </w:rPr>
        <w:t xml:space="preserve">“The Eight Witnesses physically handled the plates in daylight, not in a vision.” </w:t>
      </w:r>
      <w:r>
        <w:t>— Their statement is real, but their accounts are less detailed and several later gave qualified descriptions; the broader pattern — key witnesses describing a spiritual manner of seeing, and later endorsing forged plates — undercuts treating any of it as hard physical proof.</w:t>
      </w:r>
    </w:p>
    <w:p w14:paraId="37AD173F" w14:textId="77777777" w:rsidR="00A32788" w:rsidRDefault="00000000">
      <w:pPr>
        <w:numPr>
          <w:ilvl w:val="0"/>
          <w:numId w:val="3"/>
        </w:numPr>
        <w:spacing w:after="70"/>
      </w:pPr>
      <w:r>
        <w:rPr>
          <w:b/>
          <w:bCs/>
        </w:rPr>
        <w:t xml:space="preserve">“None of the Book of Mormon witnesses ever recanted.” </w:t>
      </w:r>
      <w:r>
        <w:t>— Non-recantation shows sincerity, not accuracy — and one of them, Martin Harris, went on to follow James Strang, whose “ancient plates” were an outright forgery — the identical witness format certifying a hoax, which undercuts the evidential weight of such testimony.</w:t>
      </w:r>
    </w:p>
    <w:p w14:paraId="0661959F" w14:textId="77777777" w:rsidR="00A32788" w:rsidRDefault="00000000">
      <w:pPr>
        <w:numPr>
          <w:ilvl w:val="0"/>
          <w:numId w:val="3"/>
        </w:numPr>
        <w:spacing w:after="70"/>
      </w:pPr>
      <w:r>
        <w:rPr>
          <w:b/>
          <w:bCs/>
        </w:rPr>
        <w:t xml:space="preserve">“The witnesses held to their testimony for life, even after leaving the Church — unlikely for a hoax.” </w:t>
      </w:r>
      <w:r>
        <w:t>— Lifelong sincerity shows they believed they had a genuine experience; it does not show the experience was of a physical object. And the decisive fact remains that the same witness format — men solemnly signing that they had seen and handled buried “ancient plates” — was used to certify Strang’s Voree plates, which were forgeries, and most of the Book of Mormon witnesses (Martin Harris among them) followed Strang. Sincere witnesses to “ancient plates” can be, and demonstrably were, mistaken.</w:t>
      </w:r>
    </w:p>
    <w:p w14:paraId="68B59E0C" w14:textId="77777777" w:rsidR="00A32788" w:rsidRDefault="00000000">
      <w:pPr>
        <w:numPr>
          <w:ilvl w:val="0"/>
          <w:numId w:val="3"/>
        </w:numPr>
        <w:spacing w:after="70"/>
      </w:pPr>
      <w:r>
        <w:rPr>
          <w:b/>
          <w:bCs/>
        </w:rPr>
        <w:t xml:space="preserve">“If a witness truly saw the plates, his testimony stands even if someone else’s plates were fake.” </w:t>
      </w:r>
      <w:r>
        <w:t>— Two answers. First, the Voree plates had their own four witnesses; Martin Harris was not among the signers, though he did embrace Strang’s movement and serve a Strangite mission. Second, and more important: the point is not that any witness lied. It is that a signed, sworn statement of having seen and handled buried “ancient plates” is demonstrably unreliable as evidence they were genuine — because the identical kind of statement certified Strang’s plates, which were a proven fraud. Sincerity is not authenticity.</w:t>
      </w:r>
    </w:p>
    <w:p w14:paraId="1A7D0F6C" w14:textId="77777777" w:rsidR="00A32788" w:rsidRDefault="00000000">
      <w:pPr>
        <w:numPr>
          <w:ilvl w:val="0"/>
          <w:numId w:val="3"/>
        </w:numPr>
        <w:spacing w:after="70"/>
      </w:pPr>
      <w:r>
        <w:rPr>
          <w:b/>
          <w:bCs/>
        </w:rPr>
        <w:t xml:space="preserve">“But the witnesses prove that real metal plates existed.” </w:t>
      </w:r>
      <w:r>
        <w:t>— Even granting that, it shows at most that Joseph possessed some metal object. It does not show the object was an ancient record engraved by ancient prophets — still less that its contents were the Book of Mormon. A witness who hefts metal leaves cannot read “reformed Egyptian” off them or verify a translation he never watched being produced (Joseph dictated with his face in a hat, the plates covered or absent). The existence of plates and the divine translation of plates are two separate claims, and the witness statements establish neither.</w:t>
      </w:r>
    </w:p>
    <w:p w14:paraId="4AC56CA3" w14:textId="77777777" w:rsidR="00A32788" w:rsidRDefault="00000000">
      <w:pPr>
        <w:numPr>
          <w:ilvl w:val="0"/>
          <w:numId w:val="3"/>
        </w:numPr>
        <w:spacing w:after="70"/>
      </w:pPr>
      <w:r>
        <w:rPr>
          <w:b/>
          <w:bCs/>
        </w:rPr>
        <w:t xml:space="preserve">“The Three Witnesses saw an angel and heard God’s voice — that is more than just seeing an object.” </w:t>
      </w:r>
      <w:r>
        <w:t>— It is different, but not stronger. By their own descriptions it was a visionary experience: Martin Harris said he saw the plates “with the eye of faith,” not the natural eye, and the men prayed until the vision came. (Harris did later insist he had also physically hefted the plates — but that was the cloth-covered bundle, handled “plate after plate” through a covering; the actual seeing of the uncovered plates was the angel vision he called spiritual. Hefting a covered object and beholding an angel are two different things, and neither alone establishes an ancient engraved record.) Shared visionary experiences in charged religious settings are common and unreliable — consider the roughly seventy thousand at Fátima in 1917 who reported seeing the sun “dance” and change colors, a sincere mass religious experience that Latter-day Saints themselves do not accept as proof of Catholic truth. And these same witnesses later accepted the visions and “ancient plates” of James Strang. An angel seen in a state of intense expectation, by a small circle of relatives and financial backers, is exactly the kind of testimony that also certified a known hoax.</w:t>
      </w:r>
    </w:p>
    <w:p w14:paraId="12E59138" w14:textId="77777777" w:rsidR="00A32788" w:rsidRDefault="00000000">
      <w:pPr>
        <w:numPr>
          <w:ilvl w:val="0"/>
          <w:numId w:val="3"/>
        </w:numPr>
        <w:spacing w:after="80"/>
      </w:pPr>
      <w:r>
        <w:rPr>
          <w:b/>
          <w:bCs/>
        </w:rPr>
        <w:t xml:space="preserve">“But so many witnesses saw or handled the plates — that many people cannot all be wrong.” </w:t>
      </w:r>
      <w:r>
        <w:t xml:space="preserve">— Numbers do not settle authenticity, and the Church itself does not treat them as if they do. Eight of </w:t>
      </w:r>
      <w:r>
        <w:lastRenderedPageBreak/>
        <w:t xml:space="preserve">Solomon Spalding’s former neighbors signed sworn statements that they had personally heard him read aloud a manuscript that they said closely resembled the Book of Mormon (collected in Howe’s </w:t>
      </w:r>
      <w:hyperlink r:id="rId150">
        <w:r w:rsidR="00A32788">
          <w:rPr>
            <w:color w:val="1155CC"/>
            <w:u w:val="single"/>
          </w:rPr>
          <w:t>Mormonism Unvailed</w:t>
        </w:r>
      </w:hyperlink>
      <w:r>
        <w:t>, 1834). They claimed a firsthand, in-person hearing, not a vision. Latter-day Saints reasonably answer that the surviving Spalding manuscript does not match, and set those affidavits aside — but that is exactly the point: sworn testimony, even from many people claiming direct experience, is not self-validating. Whatever standard retires Spalding’s witnesses must be applied to Joseph’s.</w:t>
      </w:r>
    </w:p>
    <w:p w14:paraId="0C00C952" w14:textId="77777777" w:rsidR="00A32788" w:rsidRDefault="00000000">
      <w:pPr>
        <w:pStyle w:val="Heading1"/>
      </w:pPr>
      <w:r>
        <w:t>6. Joseph Smith’s polygamy is incompatible with a true prophet</w:t>
      </w:r>
    </w:p>
    <w:p w14:paraId="1537F634" w14:textId="77777777" w:rsidR="00A32788" w:rsidRDefault="00000000">
      <w:pPr>
        <w:spacing w:before="20" w:after="90"/>
      </w:pPr>
      <w:r>
        <w:rPr>
          <w:b/>
          <w:bCs/>
          <w:color w:val="7A1F2B"/>
        </w:rPr>
        <w:t xml:space="preserve">Claim.  </w:t>
      </w:r>
      <w:r>
        <w:t>Joseph Smith secretly took between 30 and 40 wives — including a girl just short of her 15th birthday and women already married to other living men — while the Book of Mormon condemns polygamy and the Church publicly denied practicing it. The secrecy and public denial are incompatible with an honest prophet of God.</w:t>
      </w:r>
    </w:p>
    <w:p w14:paraId="1EECF133" w14:textId="77777777" w:rsidR="00A32788" w:rsidRDefault="00000000">
      <w:pPr>
        <w:spacing w:before="30" w:after="30"/>
      </w:pPr>
      <w:r>
        <w:rPr>
          <w:b/>
          <w:bCs/>
          <w:color w:val="2E5496"/>
          <w:sz w:val="20"/>
          <w:szCs w:val="20"/>
        </w:rPr>
        <w:t>Substantiation</w:t>
      </w:r>
    </w:p>
    <w:p w14:paraId="02EDEFDF" w14:textId="77777777" w:rsidR="00A32788" w:rsidRDefault="00000000">
      <w:pPr>
        <w:numPr>
          <w:ilvl w:val="0"/>
          <w:numId w:val="3"/>
        </w:numPr>
        <w:pBdr>
          <w:top w:val="nil"/>
          <w:left w:val="nil"/>
          <w:bottom w:val="nil"/>
          <w:right w:val="nil"/>
          <w:between w:val="nil"/>
        </w:pBdr>
        <w:spacing w:after="55"/>
      </w:pPr>
      <w:r>
        <w:rPr>
          <w:b/>
          <w:bCs/>
          <w:color w:val="000000"/>
        </w:rPr>
        <w:t xml:space="preserve">The Church’s essay </w:t>
      </w:r>
      <w:r>
        <w:rPr>
          <w:color w:val="000000"/>
        </w:rPr>
        <w:t xml:space="preserve">gives the “between 30 and 40” figure, the age, the sealings to married women, and calls the public statements “carefully worded denials.” </w:t>
      </w:r>
      <w:hyperlink r:id="rId151">
        <w:r w:rsidR="00A32788">
          <w:rPr>
            <w:color w:val="0563C1"/>
            <w:u w:val="single"/>
          </w:rPr>
          <w:t>Plural Marriage in Kirtland and Nauvoo</w:t>
        </w:r>
      </w:hyperlink>
    </w:p>
    <w:p w14:paraId="7D17F648" w14:textId="77777777" w:rsidR="00A32788" w:rsidRDefault="00000000">
      <w:pPr>
        <w:numPr>
          <w:ilvl w:val="0"/>
          <w:numId w:val="3"/>
        </w:numPr>
        <w:pBdr>
          <w:top w:val="nil"/>
          <w:left w:val="nil"/>
          <w:bottom w:val="nil"/>
          <w:right w:val="nil"/>
          <w:between w:val="nil"/>
        </w:pBdr>
        <w:spacing w:after="55"/>
      </w:pPr>
      <w:r>
        <w:rPr>
          <w:b/>
          <w:bCs/>
          <w:color w:val="000000"/>
        </w:rPr>
        <w:t xml:space="preserve">The contradicted scripture </w:t>
      </w:r>
      <w:r>
        <w:rPr>
          <w:color w:val="000000"/>
        </w:rPr>
        <w:t xml:space="preserve">is </w:t>
      </w:r>
      <w:hyperlink r:id="rId152">
        <w:r w:rsidR="00A32788">
          <w:rPr>
            <w:color w:val="1155CC"/>
            <w:u w:val="single"/>
          </w:rPr>
          <w:t>Jacob 2:24–27</w:t>
        </w:r>
      </w:hyperlink>
      <w:r>
        <w:rPr>
          <w:color w:val="000000"/>
        </w:rPr>
        <w:t>.</w:t>
      </w:r>
    </w:p>
    <w:p w14:paraId="1B5011CF" w14:textId="77777777" w:rsidR="00A32788" w:rsidRDefault="00000000">
      <w:pPr>
        <w:numPr>
          <w:ilvl w:val="0"/>
          <w:numId w:val="3"/>
        </w:numPr>
        <w:pBdr>
          <w:top w:val="nil"/>
          <w:left w:val="nil"/>
          <w:bottom w:val="nil"/>
          <w:right w:val="nil"/>
          <w:between w:val="nil"/>
        </w:pBdr>
        <w:spacing w:after="55"/>
      </w:pPr>
      <w:r>
        <w:rPr>
          <w:b/>
          <w:bCs/>
          <w:color w:val="000000"/>
        </w:rPr>
        <w:t xml:space="preserve">Scholarship (outside support). </w:t>
      </w:r>
      <w:r>
        <w:rPr>
          <w:color w:val="000000"/>
        </w:rPr>
        <w:t xml:space="preserve">Todd Compton’s In Sacred Loneliness (1997) documents Joseph’s plural wives individually, confirming the count, the ages, and the polyandrous sealings to women with living husbands. </w:t>
      </w:r>
      <w:hyperlink r:id="rId153">
        <w:r w:rsidR="00A32788">
          <w:rPr>
            <w:color w:val="0563C1"/>
            <w:u w:val="single"/>
          </w:rPr>
          <w:t>Compton, In Sacred Loneliness (Signature)</w:t>
        </w:r>
      </w:hyperlink>
    </w:p>
    <w:p w14:paraId="69C80119" w14:textId="77777777" w:rsidR="00A32788" w:rsidRDefault="00000000">
      <w:pPr>
        <w:numPr>
          <w:ilvl w:val="0"/>
          <w:numId w:val="3"/>
        </w:numPr>
        <w:pBdr>
          <w:top w:val="nil"/>
          <w:left w:val="nil"/>
          <w:bottom w:val="nil"/>
          <w:right w:val="nil"/>
          <w:between w:val="nil"/>
        </w:pBdr>
        <w:spacing w:after="55"/>
      </w:pPr>
      <w:r>
        <w:rPr>
          <w:b/>
          <w:bCs/>
          <w:color w:val="000000"/>
        </w:rPr>
        <w:t xml:space="preserve">The revelation itself is coercive. </w:t>
      </w:r>
      <w:hyperlink r:id="rId154">
        <w:r w:rsidR="00A32788">
          <w:rPr>
            <w:color w:val="1155CC"/>
            <w:u w:val="single"/>
          </w:rPr>
          <w:t>Doctrine and Covenants 132</w:t>
        </w:r>
      </w:hyperlink>
      <w:r>
        <w:rPr>
          <w:color w:val="000000"/>
        </w:rPr>
        <w:t xml:space="preserve"> — whose own section heading ties the “new and everlasting covenant” to “the principle of plural marriage” — commands Emma to accept Joseph’s other wives or “be destroyed” (v. 54), and states that any wife who is taught this law and will not accept it “shall be destroyed” (v. 64). Under the “law of Sarah” (v. 65), if the first wife refuses, the husband is “exempt,” may proceed anyway, and she “becomes the transgressor.” </w:t>
      </w:r>
    </w:p>
    <w:p w14:paraId="38DF0030" w14:textId="77777777" w:rsidR="00A32788" w:rsidRDefault="00000000">
      <w:pPr>
        <w:numPr>
          <w:ilvl w:val="0"/>
          <w:numId w:val="3"/>
        </w:numPr>
        <w:pBdr>
          <w:top w:val="nil"/>
          <w:left w:val="nil"/>
          <w:bottom w:val="nil"/>
          <w:right w:val="nil"/>
          <w:between w:val="nil"/>
        </w:pBdr>
        <w:spacing w:after="55"/>
      </w:pPr>
      <w:r>
        <w:rPr>
          <w:b/>
          <w:bCs/>
          <w:color w:val="000000"/>
        </w:rPr>
        <w:t xml:space="preserve">What the lessons leave out. </w:t>
      </w:r>
      <w:r>
        <w:rPr>
          <w:color w:val="000000"/>
        </w:rPr>
        <w:t>Church curriculum on section 132 characteristically dwells on the eternal-marriage verses and conveniently passes over the plural-marriage passages — including verses 54 and 64, which threaten a wife with destruction if she will not accept plural marriage.</w:t>
      </w:r>
    </w:p>
    <w:p w14:paraId="5E16FEB0" w14:textId="77777777" w:rsidR="00A32788" w:rsidRDefault="00000000">
      <w:pPr>
        <w:numPr>
          <w:ilvl w:val="0"/>
          <w:numId w:val="3"/>
        </w:numPr>
        <w:pBdr>
          <w:top w:val="nil"/>
          <w:left w:val="nil"/>
          <w:bottom w:val="nil"/>
          <w:right w:val="nil"/>
          <w:between w:val="nil"/>
        </w:pBdr>
        <w:spacing w:after="55"/>
      </w:pPr>
      <w:r>
        <w:rPr>
          <w:b/>
          <w:bCs/>
        </w:rPr>
        <w:t>The practice came before the authorization.</w:t>
      </w:r>
      <w:r>
        <w:t xml:space="preserve"> Joseph's relationship with Fanny Alger — a teenage servant in his Kirtland household — is generally regarded by historians as his first plural marriage, and it dates to the mid-1830s (about 1833–1836). That is roughly a decade </w:t>
      </w:r>
      <w:r>
        <w:rPr>
          <w:i/>
          <w:iCs/>
        </w:rPr>
        <w:t>before</w:t>
      </w:r>
      <w:r>
        <w:t xml:space="preserve"> the July 1843 revelation on plural marriage (now </w:t>
      </w:r>
      <w:hyperlink r:id="rId155">
        <w:r w:rsidR="00A32788">
          <w:rPr>
            <w:color w:val="1155CC"/>
            <w:u w:val="single"/>
          </w:rPr>
          <w:t>D&amp;C 132</w:t>
        </w:r>
      </w:hyperlink>
      <w:r>
        <w:t xml:space="preserve">) that supposedly authorized the practice — the same "act first, revelation to justify it later" pattern seen elsewhere. Oliver Cowdery, Joseph's closest early associate and a firsthand contemporary, called it "a dirty, nasty, filthy affair" in an 1838 letter — he read it as adultery, not a sanctioned marriage, and was excommunicated partly for refusing to retract that. Whether it involved any ceremony is debated; the timing and Cowdery's reaction are not.  </w:t>
      </w:r>
      <w:hyperlink r:id="rId156">
        <w:r w:rsidR="00A32788">
          <w:rPr>
            <w:color w:val="0563C1"/>
            <w:u w:val="single"/>
          </w:rPr>
          <w:t>Plural Marriage in Kirtland and Nauvoo</w:t>
        </w:r>
      </w:hyperlink>
      <w:r>
        <w:t xml:space="preserve"> - </w:t>
      </w:r>
      <w:hyperlink r:id="rId157">
        <w:r w:rsidR="00A32788">
          <w:rPr>
            <w:color w:val="1155CC"/>
            <w:u w:val="single"/>
          </w:rPr>
          <w:t>Whitmer College - Chronology of Affairs</w:t>
        </w:r>
      </w:hyperlink>
    </w:p>
    <w:p w14:paraId="33358A31" w14:textId="77777777" w:rsidR="00A32788" w:rsidRDefault="00000000">
      <w:pPr>
        <w:spacing w:before="40" w:after="30"/>
        <w:ind w:left="200"/>
      </w:pPr>
      <w:r>
        <w:rPr>
          <w:b/>
          <w:bCs/>
          <w:color w:val="0F6E64"/>
        </w:rPr>
        <w:t xml:space="preserve">Before. </w:t>
      </w:r>
      <w:r>
        <w:t>“Eternal marriage” meant plural marriage, taught as required for the highest exaltation (</w:t>
      </w:r>
      <w:hyperlink r:id="rId158">
        <w:r w:rsidR="00A32788">
          <w:rPr>
            <w:color w:val="1155CC"/>
            <w:u w:val="single"/>
          </w:rPr>
          <w:t>D&amp;C 132</w:t>
        </w:r>
      </w:hyperlink>
      <w:r>
        <w:t>).</w:t>
      </w:r>
    </w:p>
    <w:p w14:paraId="280354FE" w14:textId="77777777" w:rsidR="00A32788" w:rsidRDefault="00000000">
      <w:pPr>
        <w:spacing w:after="120"/>
        <w:ind w:left="200"/>
      </w:pPr>
      <w:r>
        <w:rPr>
          <w:b/>
          <w:bCs/>
          <w:color w:val="0F6E64"/>
        </w:rPr>
        <w:t xml:space="preserve">Now. </w:t>
      </w:r>
      <w:r>
        <w:t>After the 1890 Manifesto it was redefined as monogamous temple sealing; polygamy is now grounds for excommunication — an “eternal” principle altered under legal pressure.</w:t>
      </w:r>
    </w:p>
    <w:p w14:paraId="22E049ED" w14:textId="77777777" w:rsidR="00A32788" w:rsidRDefault="00000000">
      <w:pPr>
        <w:spacing w:before="30" w:after="30"/>
      </w:pPr>
      <w:r>
        <w:rPr>
          <w:b/>
          <w:bCs/>
          <w:color w:val="595959"/>
          <w:sz w:val="20"/>
          <w:szCs w:val="20"/>
        </w:rPr>
        <w:t>Counterarguments</w:t>
      </w:r>
    </w:p>
    <w:p w14:paraId="1180BEAD" w14:textId="77777777" w:rsidR="00A32788" w:rsidRDefault="00000000">
      <w:pPr>
        <w:numPr>
          <w:ilvl w:val="0"/>
          <w:numId w:val="3"/>
        </w:numPr>
        <w:pBdr>
          <w:top w:val="nil"/>
          <w:left w:val="nil"/>
          <w:bottom w:val="nil"/>
          <w:right w:val="nil"/>
          <w:between w:val="nil"/>
        </w:pBdr>
        <w:spacing w:after="70"/>
      </w:pPr>
      <w:r>
        <w:rPr>
          <w:b/>
          <w:bCs/>
          <w:color w:val="000000"/>
        </w:rPr>
        <w:t>“</w:t>
      </w:r>
      <w:hyperlink r:id="rId159">
        <w:r w:rsidR="00A32788">
          <w:rPr>
            <w:b/>
            <w:bCs/>
            <w:color w:val="1155CC"/>
            <w:u w:val="single"/>
          </w:rPr>
          <w:t>Jacob 2:30</w:t>
        </w:r>
      </w:hyperlink>
      <w:r>
        <w:rPr>
          <w:b/>
          <w:bCs/>
          <w:color w:val="000000"/>
        </w:rPr>
        <w:t xml:space="preserve"> lets God command it, and the denials targeted unauthorized ‘spiritual wifery.’” </w:t>
      </w:r>
      <w:r>
        <w:rPr>
          <w:color w:val="000000"/>
        </w:rPr>
        <w:t>— Even granting the exception, the Church publicly claimed it practiced only monogamy while the practice was widespread in private. Its own essay calls those statements “carefully worded” — that is, deliberately deceptive.</w:t>
      </w:r>
    </w:p>
    <w:p w14:paraId="131FA175" w14:textId="77777777" w:rsidR="00A32788" w:rsidRDefault="00000000">
      <w:pPr>
        <w:numPr>
          <w:ilvl w:val="0"/>
          <w:numId w:val="3"/>
        </w:numPr>
        <w:pBdr>
          <w:top w:val="nil"/>
          <w:left w:val="nil"/>
          <w:bottom w:val="nil"/>
          <w:right w:val="nil"/>
          <w:between w:val="nil"/>
        </w:pBdr>
        <w:spacing w:after="70"/>
      </w:pPr>
      <w:r>
        <w:rPr>
          <w:b/>
          <w:bCs/>
          <w:color w:val="000000"/>
        </w:rPr>
        <w:t xml:space="preserve">“The marriage to 14-year-old Helen Mar Kimball was a non-sexual ‘dynastic’ sealing linking families.” </w:t>
      </w:r>
      <w:r>
        <w:rPr>
          <w:color w:val="000000"/>
        </w:rPr>
        <w:t xml:space="preserve">— Even if so, a 37-year-old married prophet sealing a 14-year-old to himself — presented to her family with promises of their eternal exaltation — is deeply troubling, and Helen herself later wrote that she </w:t>
      </w:r>
      <w:r>
        <w:rPr>
          <w:color w:val="000000"/>
        </w:rPr>
        <w:lastRenderedPageBreak/>
        <w:t>would not have agreed had she understood it was more than ceremonial. “Dynastic” does not resolve the consent problem.</w:t>
      </w:r>
      <w:r>
        <w:t xml:space="preserve"> </w:t>
      </w:r>
      <w:hyperlink r:id="rId160">
        <w:r w:rsidR="00A32788">
          <w:rPr>
            <w:color w:val="1155CC"/>
            <w:u w:val="single"/>
          </w:rPr>
          <w:t>Helen Mar Kimball (Joseph Smith’s Polygamy)</w:t>
        </w:r>
      </w:hyperlink>
      <w:r>
        <w:t xml:space="preserve"> </w:t>
      </w:r>
    </w:p>
    <w:p w14:paraId="3F81B83B" w14:textId="77777777" w:rsidR="00A32788" w:rsidRDefault="00000000">
      <w:pPr>
        <w:numPr>
          <w:ilvl w:val="0"/>
          <w:numId w:val="3"/>
        </w:numPr>
        <w:pBdr>
          <w:top w:val="nil"/>
          <w:left w:val="nil"/>
          <w:bottom w:val="nil"/>
          <w:right w:val="nil"/>
          <w:between w:val="nil"/>
        </w:pBdr>
        <w:spacing w:after="70"/>
      </w:pPr>
      <w:r>
        <w:rPr>
          <w:b/>
          <w:bCs/>
          <w:color w:val="000000"/>
        </w:rPr>
        <w:t xml:space="preserve">“The sealings to already-married women were eternity-only and non-sexual.” </w:t>
      </w:r>
      <w:r>
        <w:rPr>
          <w:color w:val="000000"/>
        </w:rPr>
        <w:t>— Even granting that, a prophet secretly marrying other living men’s wives — while the Church publicly denied practicing any polygamy — is a grave ethical and credibility problem, and the Church’s own essay states sexual relations were part of plural marriage. ‘Dynastic’ framing removes none of the secrecy, the deception, or the ‘eternal salvation’ pressure placed on the women and their families.</w:t>
      </w:r>
    </w:p>
    <w:p w14:paraId="6E858825" w14:textId="77777777" w:rsidR="00A32788" w:rsidRDefault="00000000">
      <w:pPr>
        <w:numPr>
          <w:ilvl w:val="0"/>
          <w:numId w:val="3"/>
        </w:numPr>
        <w:pBdr>
          <w:top w:val="nil"/>
          <w:left w:val="nil"/>
          <w:bottom w:val="nil"/>
          <w:right w:val="nil"/>
          <w:between w:val="nil"/>
        </w:pBdr>
        <w:spacing w:after="70"/>
      </w:pPr>
      <w:r>
        <w:rPr>
          <w:b/>
          <w:bCs/>
          <w:color w:val="000000"/>
        </w:rPr>
        <w:t xml:space="preserve">“Plural marriage was an accepted Old Testament practice (Abraham, Jacob).” </w:t>
      </w:r>
      <w:r>
        <w:rPr>
          <w:color w:val="000000"/>
        </w:rPr>
        <w:t>— Joseph’s own scripture — the Book of Mormon — explicitly condemns the practice and calls it an abomination (</w:t>
      </w:r>
      <w:hyperlink r:id="rId161">
        <w:r w:rsidR="00A32788">
          <w:rPr>
            <w:color w:val="1155CC"/>
            <w:u w:val="single"/>
          </w:rPr>
          <w:t>Jacob 2:24</w:t>
        </w:r>
      </w:hyperlink>
      <w:r>
        <w:rPr>
          <w:color w:val="000000"/>
        </w:rPr>
        <w:t>), so appealing to the Old Testament contradicts his own canon. And the central problem is not whether polygamy can ever be sanctioned but the secrecy and the public denials the Church itself calls ‘carefully worded.’</w:t>
      </w:r>
    </w:p>
    <w:p w14:paraId="13C4F60B" w14:textId="77777777" w:rsidR="00A32788" w:rsidRDefault="00000000">
      <w:pPr>
        <w:pStyle w:val="Heading1"/>
      </w:pPr>
      <w:r>
        <w:t>7. The prophecies fail the Bible’s own test</w:t>
      </w:r>
    </w:p>
    <w:p w14:paraId="061FCE8E" w14:textId="77777777" w:rsidR="00A32788" w:rsidRDefault="00000000">
      <w:pPr>
        <w:spacing w:before="20" w:after="90"/>
      </w:pPr>
      <w:r>
        <w:rPr>
          <w:b/>
          <w:bCs/>
          <w:color w:val="7A1F2B"/>
        </w:rPr>
        <w:t xml:space="preserve">Claim.  </w:t>
      </w:r>
      <w:r>
        <w:t>By the Bible’s standard (</w:t>
      </w:r>
      <w:hyperlink r:id="rId162">
        <w:r w:rsidR="00A32788">
          <w:rPr>
            <w:color w:val="1155CC"/>
            <w:u w:val="single"/>
          </w:rPr>
          <w:t>Deuteronomy 18:22</w:t>
        </w:r>
      </w:hyperlink>
      <w:r>
        <w:t>), a true prophet’s predictions come to pass. Several of Joseph Smith’s did not, and Church leaders later failed to detect forged documents — both inconsistent with prophetic gifts.</w:t>
      </w:r>
    </w:p>
    <w:p w14:paraId="0D43C6CD" w14:textId="77777777" w:rsidR="00A32788" w:rsidRDefault="00000000">
      <w:pPr>
        <w:spacing w:before="30" w:after="30"/>
      </w:pPr>
      <w:r>
        <w:rPr>
          <w:b/>
          <w:bCs/>
          <w:color w:val="2E5496"/>
          <w:sz w:val="20"/>
          <w:szCs w:val="20"/>
        </w:rPr>
        <w:t>Substantiation</w:t>
      </w:r>
    </w:p>
    <w:p w14:paraId="7C2E5633" w14:textId="77777777" w:rsidR="00A32788" w:rsidRDefault="00000000">
      <w:pPr>
        <w:numPr>
          <w:ilvl w:val="0"/>
          <w:numId w:val="3"/>
        </w:numPr>
        <w:pBdr>
          <w:top w:val="nil"/>
          <w:left w:val="nil"/>
          <w:bottom w:val="nil"/>
          <w:right w:val="nil"/>
          <w:between w:val="nil"/>
        </w:pBdr>
        <w:spacing w:after="55"/>
      </w:pPr>
      <w:r>
        <w:rPr>
          <w:b/>
          <w:bCs/>
          <w:color w:val="000000"/>
        </w:rPr>
        <w:t xml:space="preserve">The Missouri temple (the clearest case). </w:t>
      </w:r>
      <w:hyperlink r:id="rId163">
        <w:r w:rsidR="00A32788">
          <w:rPr>
            <w:color w:val="1155CC"/>
            <w:u w:val="single"/>
          </w:rPr>
          <w:t>D&amp;C 84:1–5</w:t>
        </w:r>
      </w:hyperlink>
      <w:r>
        <w:rPr>
          <w:color w:val="000000"/>
        </w:rPr>
        <w:t xml:space="preserve"> (1832) declared that a temple would be built in Independence, Missouri “in this generation.” The Saints were expelled from Missouri in 1838–39 and no temple was ever built there; that generation passed without it.</w:t>
      </w:r>
    </w:p>
    <w:p w14:paraId="18ADD76B" w14:textId="77777777" w:rsidR="00A32788" w:rsidRDefault="00000000">
      <w:pPr>
        <w:numPr>
          <w:ilvl w:val="0"/>
          <w:numId w:val="3"/>
        </w:numPr>
        <w:pBdr>
          <w:top w:val="nil"/>
          <w:left w:val="nil"/>
          <w:bottom w:val="nil"/>
          <w:right w:val="nil"/>
          <w:between w:val="nil"/>
        </w:pBdr>
        <w:spacing w:after="55"/>
      </w:pPr>
      <w:r>
        <w:rPr>
          <w:b/>
          <w:bCs/>
          <w:color w:val="000000"/>
        </w:rPr>
        <w:t xml:space="preserve">The Canada copyright. </w:t>
      </w:r>
      <w:r>
        <w:rPr>
          <w:color w:val="000000"/>
        </w:rPr>
        <w:t xml:space="preserve">An 1830 revelation directed men to sell the Book of Mormon copyright in Canada; the trip failed, and Joseph reportedly explained that some revelations are of God and some are not (David Whitmer’s account). </w:t>
      </w:r>
      <w:hyperlink r:id="rId164">
        <w:r w:rsidR="00A32788">
          <w:rPr>
            <w:color w:val="0563C1"/>
            <w:u w:val="single"/>
          </w:rPr>
          <w:t>The Canada copyright revelation (BYU RSC)</w:t>
        </w:r>
      </w:hyperlink>
    </w:p>
    <w:p w14:paraId="602DE522" w14:textId="77777777" w:rsidR="00A32788" w:rsidRDefault="00000000">
      <w:pPr>
        <w:numPr>
          <w:ilvl w:val="0"/>
          <w:numId w:val="3"/>
        </w:numPr>
        <w:pBdr>
          <w:top w:val="nil"/>
          <w:left w:val="nil"/>
          <w:bottom w:val="nil"/>
          <w:right w:val="nil"/>
          <w:between w:val="nil"/>
        </w:pBdr>
        <w:spacing w:after="55"/>
      </w:pPr>
      <w:r>
        <w:rPr>
          <w:b/>
          <w:bCs/>
          <w:color w:val="000000"/>
        </w:rPr>
        <w:t xml:space="preserve">David Patten’s mission. </w:t>
      </w:r>
      <w:hyperlink r:id="rId165">
        <w:r w:rsidR="00A32788">
          <w:rPr>
            <w:color w:val="0563C1"/>
            <w:u w:val="single"/>
          </w:rPr>
          <w:t>D&amp;C 114</w:t>
        </w:r>
      </w:hyperlink>
      <w:r>
        <w:rPr>
          <w:color w:val="000000"/>
        </w:rPr>
        <w:t xml:space="preserve"> (April 1838) directed Patten to settle his affairs and “perform a mission … next spring” (1839); he was killed at the Battle of Crooked River in October 1838 and never served it.</w:t>
      </w:r>
    </w:p>
    <w:p w14:paraId="5BBC2B35" w14:textId="77777777" w:rsidR="00A32788" w:rsidRDefault="00000000">
      <w:pPr>
        <w:numPr>
          <w:ilvl w:val="0"/>
          <w:numId w:val="3"/>
        </w:numPr>
        <w:pBdr>
          <w:top w:val="nil"/>
          <w:left w:val="nil"/>
          <w:bottom w:val="nil"/>
          <w:right w:val="nil"/>
          <w:between w:val="nil"/>
        </w:pBdr>
        <w:spacing w:after="55"/>
      </w:pPr>
      <w:r>
        <w:rPr>
          <w:b/>
          <w:bCs/>
          <w:color w:val="000000"/>
        </w:rPr>
        <w:t xml:space="preserve">The war prophecy. </w:t>
      </w:r>
      <w:r>
        <w:t xml:space="preserve"> </w:t>
      </w:r>
      <w:hyperlink r:id="rId166">
        <w:r w:rsidR="00A32788">
          <w:rPr>
            <w:color w:val="0563C1"/>
            <w:u w:val="single"/>
          </w:rPr>
          <w:t>D&amp;C 87</w:t>
        </w:r>
      </w:hyperlink>
      <w:r>
        <w:rPr>
          <w:color w:val="000000"/>
        </w:rPr>
        <w:t xml:space="preserve"> (1832) predicted a civil war beginning in South Carolina that would be “poured out upon all nations” and bring a “full end of all nations” — the global part did not occur.</w:t>
      </w:r>
    </w:p>
    <w:p w14:paraId="5CD272A2" w14:textId="77777777" w:rsidR="00A32788" w:rsidRDefault="00000000">
      <w:pPr>
        <w:numPr>
          <w:ilvl w:val="0"/>
          <w:numId w:val="3"/>
        </w:numPr>
        <w:pBdr>
          <w:top w:val="nil"/>
          <w:left w:val="nil"/>
          <w:bottom w:val="nil"/>
          <w:right w:val="nil"/>
          <w:between w:val="nil"/>
        </w:pBdr>
        <w:spacing w:after="55"/>
      </w:pPr>
      <w:r>
        <w:rPr>
          <w:b/>
          <w:bCs/>
          <w:color w:val="000000"/>
        </w:rPr>
        <w:t xml:space="preserve">The Hofmann forgeries. </w:t>
      </w:r>
      <w:r>
        <w:rPr>
          <w:color w:val="000000"/>
        </w:rPr>
        <w:t>The Church acquired documents later proven forged (the Salamander Letter and others); documented by Church historian Richard E. Turley Jr. (“Victims,” 1992).</w:t>
      </w:r>
    </w:p>
    <w:p w14:paraId="10849DA7" w14:textId="77777777" w:rsidR="00A32788" w:rsidRDefault="00000000">
      <w:pPr>
        <w:numPr>
          <w:ilvl w:val="0"/>
          <w:numId w:val="3"/>
        </w:numPr>
        <w:pBdr>
          <w:top w:val="nil"/>
          <w:left w:val="nil"/>
          <w:bottom w:val="nil"/>
          <w:right w:val="nil"/>
          <w:between w:val="nil"/>
        </w:pBdr>
        <w:spacing w:after="55"/>
      </w:pPr>
      <w:r>
        <w:rPr>
          <w:b/>
          <w:bCs/>
          <w:color w:val="000000"/>
        </w:rPr>
        <w:t xml:space="preserve">The Kirtland bank. </w:t>
      </w:r>
      <w:r>
        <w:rPr>
          <w:color w:val="000000"/>
        </w:rPr>
        <w:t>In 1837 Joseph organized the Kirtland Safety Society and promoted it as divinely favored</w:t>
      </w:r>
      <w:r>
        <w:t xml:space="preserve"> — Wilford Woodruff recorded him declaring, by “the audible voice of God,” that the institution would “grow and flourish” and, like Aaron’s rod, “swallow up all other banks” — yet it collapsed within months, financially ruining many members and triggering mass apostasy. </w:t>
      </w:r>
      <w:r>
        <w:rPr>
          <w:color w:val="000000"/>
        </w:rPr>
        <w:t xml:space="preserve"> </w:t>
      </w:r>
      <w:hyperlink r:id="rId167">
        <w:r w:rsidR="00A32788">
          <w:rPr>
            <w:color w:val="0563C1"/>
            <w:u w:val="single"/>
          </w:rPr>
          <w:t>Kirtland Safety Society</w:t>
        </w:r>
      </w:hyperlink>
      <w:r>
        <w:t xml:space="preserve">, </w:t>
      </w:r>
      <w:hyperlink r:id="rId168">
        <w:r w:rsidR="00A32788">
          <w:rPr>
            <w:color w:val="1155CC"/>
            <w:u w:val="single"/>
          </w:rPr>
          <w:t xml:space="preserve">Wilford Woodruff’s Journal, 6 January 1837 </w:t>
        </w:r>
      </w:hyperlink>
    </w:p>
    <w:p w14:paraId="4AA0B941" w14:textId="77777777" w:rsidR="00A32788" w:rsidRDefault="00000000">
      <w:pPr>
        <w:spacing w:before="30" w:after="30"/>
      </w:pPr>
      <w:r>
        <w:rPr>
          <w:b/>
          <w:bCs/>
          <w:color w:val="595959"/>
          <w:sz w:val="20"/>
          <w:szCs w:val="20"/>
        </w:rPr>
        <w:t>Counterarguments</w:t>
      </w:r>
    </w:p>
    <w:p w14:paraId="12EFC530" w14:textId="77777777" w:rsidR="00A32788" w:rsidRDefault="00000000">
      <w:pPr>
        <w:numPr>
          <w:ilvl w:val="0"/>
          <w:numId w:val="3"/>
        </w:numPr>
        <w:pBdr>
          <w:top w:val="nil"/>
          <w:left w:val="nil"/>
          <w:bottom w:val="nil"/>
          <w:right w:val="nil"/>
          <w:between w:val="nil"/>
        </w:pBdr>
        <w:spacing w:after="70"/>
      </w:pPr>
      <w:r>
        <w:rPr>
          <w:b/>
          <w:bCs/>
          <w:color w:val="000000"/>
        </w:rPr>
        <w:t xml:space="preserve">“D&amp;C 114 was wise instruction (‘that he may perform a mission’), not a guaranteed prophecy.” </w:t>
      </w:r>
      <w:r>
        <w:rPr>
          <w:color w:val="000000"/>
        </w:rPr>
        <w:t xml:space="preserve">— </w:t>
      </w:r>
      <w:r>
        <w:t>Not really — the revelation opens “Verily thus saith the Lord,” the very formula Deuteronomy’s test is about (“when a prophet speaketh in the name of the Lord, if the thing follow not … the Lord hath not spoken it”). It told David Patten to settle his affairs “that he may perform a mission … next spring”; Patten was killed that October, so the mission never came. The Missouri temple and the Canada copyright are even cleaner cases, where specific, datable predictions plainly failed — but D&amp;C 114 is not merely “wise instruction.”</w:t>
      </w:r>
    </w:p>
    <w:p w14:paraId="136C7C5C" w14:textId="77777777" w:rsidR="00A32788" w:rsidRDefault="00000000">
      <w:pPr>
        <w:numPr>
          <w:ilvl w:val="0"/>
          <w:numId w:val="3"/>
        </w:numPr>
        <w:pBdr>
          <w:top w:val="nil"/>
          <w:left w:val="nil"/>
          <w:bottom w:val="nil"/>
          <w:right w:val="nil"/>
          <w:between w:val="nil"/>
        </w:pBdr>
        <w:spacing w:after="70"/>
      </w:pPr>
      <w:r>
        <w:rPr>
          <w:b/>
          <w:bCs/>
          <w:color w:val="000000"/>
        </w:rPr>
        <w:t xml:space="preserve">“Prophecies can be conditional, and prophets aren’t infallible.” </w:t>
      </w:r>
      <w:r>
        <w:rPr>
          <w:color w:val="000000"/>
        </w:rPr>
        <w:t xml:space="preserve">— </w:t>
      </w:r>
      <w:r>
        <w:t xml:space="preserve">The Missouri temple prophecy was specific and time-bound (“this generation”). The “conditional” defense is also applied selectively: it is reached for precisely when a prediction fails the Bible’s plain test (Deuteronomy 18:22), even though </w:t>
      </w:r>
      <w:r>
        <w:lastRenderedPageBreak/>
        <w:t xml:space="preserve">the same prophecies were presented beforehand as the sure word of the Lord, with no condition stated. A prediction that can always be voided after the fact — “the conditions weren’t met” — is one the test can never touch, which is exactly what Deuteronomy’s test was meant to prevent. </w:t>
      </w:r>
    </w:p>
    <w:p w14:paraId="43EB988F" w14:textId="77777777" w:rsidR="00A32788" w:rsidRDefault="00000000">
      <w:pPr>
        <w:numPr>
          <w:ilvl w:val="0"/>
          <w:numId w:val="3"/>
        </w:numPr>
        <w:pBdr>
          <w:top w:val="nil"/>
          <w:left w:val="nil"/>
          <w:bottom w:val="nil"/>
          <w:right w:val="nil"/>
          <w:between w:val="nil"/>
        </w:pBdr>
        <w:spacing w:after="70"/>
      </w:pPr>
      <w:r>
        <w:rPr>
          <w:b/>
          <w:bCs/>
          <w:color w:val="000000"/>
        </w:rPr>
        <w:t xml:space="preserve">“D&amp;C 87 came true — it named South Carolina, where the Civil War began.” </w:t>
      </w:r>
      <w:r>
        <w:rPr>
          <w:color w:val="000000"/>
        </w:rPr>
        <w:t xml:space="preserve">— Naming South Carolina was a reasonable read of current events: the revelation is dated December 25, 1832, during the Nullification Crisis, when South Carolina had just passed its Ordinance of Nullification and was openly threatening secession. The checkable global claims — war “poured out upon all nations” and a “full end of all nations” — did not happen. </w:t>
      </w:r>
      <w:hyperlink r:id="rId169">
        <w:r w:rsidR="00A32788">
          <w:rPr>
            <w:color w:val="1155CC"/>
            <w:u w:val="single"/>
          </w:rPr>
          <w:t>South Carolina’s Ordinance of Nullification (Nov. 1832)</w:t>
        </w:r>
      </w:hyperlink>
      <w:r>
        <w:t xml:space="preserve"> </w:t>
      </w:r>
    </w:p>
    <w:p w14:paraId="40487633" w14:textId="77777777" w:rsidR="00A32788" w:rsidRDefault="00000000">
      <w:pPr>
        <w:numPr>
          <w:ilvl w:val="0"/>
          <w:numId w:val="3"/>
        </w:numPr>
        <w:pBdr>
          <w:top w:val="nil"/>
          <w:left w:val="nil"/>
          <w:bottom w:val="nil"/>
          <w:right w:val="nil"/>
          <w:between w:val="nil"/>
        </w:pBdr>
        <w:spacing w:after="70"/>
      </w:pPr>
      <w:r>
        <w:rPr>
          <w:b/>
          <w:bCs/>
          <w:color w:val="000000"/>
        </w:rPr>
        <w:t xml:space="preserve">“Detecting forgeries isn’t a prophetic function.” </w:t>
      </w:r>
      <w:r>
        <w:rPr>
          <w:color w:val="000000"/>
        </w:rPr>
        <w:t>— Reasonable — but it is then hard to maintain that leaders possess special discernment, given they publicly treated forgeries as authentic.</w:t>
      </w:r>
    </w:p>
    <w:p w14:paraId="36EB4A9C" w14:textId="77777777" w:rsidR="00A32788" w:rsidRDefault="00000000">
      <w:pPr>
        <w:numPr>
          <w:ilvl w:val="0"/>
          <w:numId w:val="3"/>
        </w:numPr>
        <w:pBdr>
          <w:top w:val="nil"/>
          <w:left w:val="nil"/>
          <w:bottom w:val="nil"/>
          <w:right w:val="nil"/>
          <w:between w:val="nil"/>
        </w:pBdr>
        <w:spacing w:after="70"/>
      </w:pPr>
      <w:r>
        <w:rPr>
          <w:b/>
          <w:bCs/>
          <w:color w:val="000000"/>
        </w:rPr>
        <w:t xml:space="preserve">“The Kirtland bank failed because of others’ fraud and the national Panic of 1837, not a false prophecy.” </w:t>
      </w:r>
      <w:r>
        <w:rPr>
          <w:color w:val="000000"/>
        </w:rPr>
        <w:t xml:space="preserve">— External pressures hurt many banks, but Joseph had staked his prophetic credibility on its success and kept promoting it as God-favored. ‘It failed for outside reasons’ is precisely the after-the-fact rescue that, applied consistently, would shield any failed prophecy from ever being tested. </w:t>
      </w:r>
      <w:hyperlink r:id="rId170">
        <w:r w:rsidR="00A32788">
          <w:rPr>
            <w:color w:val="1155CC"/>
            <w:u w:val="single"/>
          </w:rPr>
          <w:t>Joseph Smith and the Kirtland Crisis, 1837</w:t>
        </w:r>
      </w:hyperlink>
    </w:p>
    <w:p w14:paraId="7B9A1278" w14:textId="77777777" w:rsidR="00A32788" w:rsidRDefault="00000000">
      <w:r>
        <w:br w:type="page"/>
      </w:r>
    </w:p>
    <w:p w14:paraId="60C37097" w14:textId="77777777" w:rsidR="00A32788" w:rsidRDefault="00000000">
      <w:pPr>
        <w:pStyle w:val="Heading1"/>
      </w:pPr>
      <w:r>
        <w:lastRenderedPageBreak/>
        <w:t>8. The Church’s changing doctrine shows it is man-made</w:t>
      </w:r>
    </w:p>
    <w:p w14:paraId="44C33961" w14:textId="77777777" w:rsidR="00A32788" w:rsidRDefault="00000000">
      <w:pPr>
        <w:pStyle w:val="Heading2"/>
      </w:pPr>
      <w:r>
        <w:t>Race and the priesthood: a 126-year doctrine, now disavowed</w:t>
      </w:r>
    </w:p>
    <w:p w14:paraId="107D26FE" w14:textId="77777777" w:rsidR="00A32788" w:rsidRDefault="00000000">
      <w:pPr>
        <w:spacing w:before="20" w:after="90"/>
      </w:pPr>
      <w:r>
        <w:rPr>
          <w:b/>
          <w:bCs/>
          <w:color w:val="7A1F2B"/>
        </w:rPr>
        <w:t xml:space="preserve">Claim.  </w:t>
      </w:r>
      <w:r>
        <w:t>For 126 years the Church denied the priesthood and temple access to black members and taught racial reasons for it as doctrine. The Church now disavows those reasons — which means prophets taught false doctrine as God’s will for over a century.</w:t>
      </w:r>
    </w:p>
    <w:p w14:paraId="2C4D8F34" w14:textId="77777777" w:rsidR="00A32788" w:rsidRDefault="00000000">
      <w:pPr>
        <w:spacing w:before="30" w:after="30"/>
      </w:pPr>
      <w:r>
        <w:rPr>
          <w:b/>
          <w:bCs/>
          <w:color w:val="2E5496"/>
          <w:sz w:val="20"/>
          <w:szCs w:val="20"/>
        </w:rPr>
        <w:t>Substantiation</w:t>
      </w:r>
    </w:p>
    <w:p w14:paraId="367B88D2" w14:textId="77777777" w:rsidR="00A32788" w:rsidRDefault="00000000">
      <w:pPr>
        <w:numPr>
          <w:ilvl w:val="0"/>
          <w:numId w:val="3"/>
        </w:numPr>
        <w:pBdr>
          <w:top w:val="nil"/>
          <w:left w:val="nil"/>
          <w:bottom w:val="nil"/>
          <w:right w:val="nil"/>
          <w:between w:val="nil"/>
        </w:pBdr>
        <w:spacing w:after="55"/>
      </w:pPr>
      <w:r>
        <w:rPr>
          <w:b/>
          <w:bCs/>
          <w:color w:val="000000"/>
        </w:rPr>
        <w:t xml:space="preserve">The essay </w:t>
      </w:r>
      <w:r>
        <w:rPr>
          <w:color w:val="000000"/>
        </w:rPr>
        <w:t xml:space="preserve">states the Church “disavows the theories advanced in the past” that black skin signified a curse or premortal unfaithfulness, and condemns racism “past and present.” </w:t>
      </w:r>
      <w:hyperlink r:id="rId171">
        <w:r w:rsidR="00A32788">
          <w:rPr>
            <w:color w:val="0563C1"/>
            <w:u w:val="single"/>
          </w:rPr>
          <w:t>Race and the Priesthood</w:t>
        </w:r>
      </w:hyperlink>
    </w:p>
    <w:p w14:paraId="3C3CAC58" w14:textId="77777777" w:rsidR="00A32788" w:rsidRDefault="00000000">
      <w:pPr>
        <w:spacing w:before="30" w:after="30"/>
      </w:pPr>
      <w:r>
        <w:rPr>
          <w:b/>
          <w:bCs/>
          <w:color w:val="595959"/>
          <w:sz w:val="20"/>
          <w:szCs w:val="20"/>
        </w:rPr>
        <w:t>Counterarguments</w:t>
      </w:r>
    </w:p>
    <w:p w14:paraId="7EAC6D74" w14:textId="77777777" w:rsidR="00A32788" w:rsidRDefault="00000000">
      <w:pPr>
        <w:numPr>
          <w:ilvl w:val="0"/>
          <w:numId w:val="3"/>
        </w:numPr>
        <w:pBdr>
          <w:top w:val="nil"/>
          <w:left w:val="nil"/>
          <w:bottom w:val="nil"/>
          <w:right w:val="nil"/>
          <w:between w:val="nil"/>
        </w:pBdr>
        <w:spacing w:after="70"/>
      </w:pPr>
      <w:r>
        <w:rPr>
          <w:b/>
          <w:bCs/>
          <w:color w:val="000000"/>
        </w:rPr>
        <w:t xml:space="preserve">“Those explanations were just men’s opinions; revelation lifted the ban in time.” </w:t>
      </w:r>
      <w:r>
        <w:rPr>
          <w:color w:val="000000"/>
        </w:rPr>
        <w:t>— They were taught as doctrine by prophets for generations, and the ban itself was attributed to God. Disavowing it reverses official teaching, not private opinion.</w:t>
      </w:r>
    </w:p>
    <w:p w14:paraId="37EFF1E7" w14:textId="77777777" w:rsidR="00A32788" w:rsidRDefault="00000000">
      <w:pPr>
        <w:numPr>
          <w:ilvl w:val="0"/>
          <w:numId w:val="3"/>
        </w:numPr>
        <w:pBdr>
          <w:top w:val="nil"/>
          <w:left w:val="nil"/>
          <w:bottom w:val="nil"/>
          <w:right w:val="nil"/>
          <w:between w:val="nil"/>
        </w:pBdr>
        <w:spacing w:after="70"/>
      </w:pPr>
      <w:r>
        <w:rPr>
          <w:b/>
          <w:bCs/>
          <w:color w:val="000000"/>
        </w:rPr>
        <w:t xml:space="preserve">“The Church disavowed the racist reasons, but the ban itself may still have been God’s will.” </w:t>
      </w:r>
      <w:r>
        <w:rPr>
          <w:color w:val="000000"/>
        </w:rPr>
        <w:t>— That is the careful position the essay takes — but it is telling: the Church will disavow the century of racial doctrine while declining to say the ban itself was a human mistake. If the reasons were all wrong yet the policy was God’s, members were taught falsehoods as revelation for 126 years.</w:t>
      </w:r>
    </w:p>
    <w:p w14:paraId="0B200104" w14:textId="77777777" w:rsidR="00A32788" w:rsidRDefault="00000000">
      <w:pPr>
        <w:numPr>
          <w:ilvl w:val="0"/>
          <w:numId w:val="3"/>
        </w:numPr>
        <w:pBdr>
          <w:top w:val="nil"/>
          <w:left w:val="nil"/>
          <w:bottom w:val="nil"/>
          <w:right w:val="nil"/>
          <w:between w:val="nil"/>
        </w:pBdr>
        <w:spacing w:after="70"/>
      </w:pPr>
      <w:r>
        <w:rPr>
          <w:b/>
          <w:bCs/>
          <w:color w:val="000000"/>
        </w:rPr>
        <w:t xml:space="preserve">“We won’t fully understand the reasons in this life.” </w:t>
      </w:r>
      <w:r>
        <w:rPr>
          <w:color w:val="000000"/>
        </w:rPr>
        <w:t>— This is the Church’s most common response to unresolved problems, but it is unfalsifiable — it can excuse any failed teaching indefinitely. It also doesn’t fit here: the Church already identified the old reasons and disavowed them, so this isn’t a mystery awaiting the next life but a doctrine the Church admits was wrong.</w:t>
      </w:r>
    </w:p>
    <w:p w14:paraId="65D39E9D" w14:textId="77777777" w:rsidR="00A32788" w:rsidRDefault="00000000">
      <w:pPr>
        <w:numPr>
          <w:ilvl w:val="0"/>
          <w:numId w:val="3"/>
        </w:numPr>
        <w:spacing w:after="80"/>
      </w:pPr>
      <w:r>
        <w:rPr>
          <w:b/>
          <w:bCs/>
        </w:rPr>
        <w:t xml:space="preserve">“The ban probably began as a human error under Brigham Young, and the Church corrected it — proof the system self-corrects.” </w:t>
      </w:r>
      <w:r>
        <w:t xml:space="preserve">— The Church taught the ban as God’s will and the racial explanations as doctrine for 126 years, insisting as late as 1949 — in a First Presidency statement — that it was “a direct commandment from the Lord.” The change also came slow and late by society’s own clock: the Civil Rights Act passed in 1964, yet the priesthood ban held until 1978, fourteen years later, lifting only amid sustained external pressure (athletic boycotts of BYU, and the awkwardness of the Church’s expansion into racially mixed Brazil). A correction that trails the surrounding culture by more than a decade, and that required a national civil-rights movement and a century of harm, looks less like prophetic guidance than an institution eventually following the world. </w:t>
      </w:r>
      <w:hyperlink r:id="rId172">
        <w:r w:rsidR="00A32788">
          <w:rPr>
            <w:color w:val="1155CC"/>
            <w:u w:val="single"/>
          </w:rPr>
          <w:t>First Presidency, 1949 (“direct commandment from the Lord”) — text at BYU RSC</w:t>
        </w:r>
      </w:hyperlink>
      <w:r>
        <w:t xml:space="preserve"> </w:t>
      </w:r>
    </w:p>
    <w:p w14:paraId="0278D4AA" w14:textId="77777777" w:rsidR="00A32788" w:rsidRDefault="00A32788">
      <w:pPr>
        <w:pBdr>
          <w:bottom w:val="single" w:sz="4" w:space="2" w:color="DDDDDD"/>
        </w:pBdr>
        <w:spacing w:before="60" w:after="60"/>
      </w:pPr>
    </w:p>
    <w:p w14:paraId="70833940" w14:textId="77777777" w:rsidR="00A32788" w:rsidRDefault="00000000">
      <w:pPr>
        <w:pStyle w:val="Heading2"/>
      </w:pPr>
      <w:bookmarkStart w:id="1" w:name="_3c0yt0n7k8db" w:colFirst="0" w:colLast="0"/>
      <w:bookmarkEnd w:id="1"/>
      <w:r>
        <w:t>The Bible teaches that marriage ends at death</w:t>
      </w:r>
    </w:p>
    <w:p w14:paraId="75382EA1" w14:textId="77777777" w:rsidR="00A32788" w:rsidRDefault="00000000">
      <w:pPr>
        <w:spacing w:before="20" w:after="90"/>
      </w:pPr>
      <w:r>
        <w:rPr>
          <w:b/>
          <w:bCs/>
          <w:color w:val="7A1F2B"/>
        </w:rPr>
        <w:t xml:space="preserve">Claim.  </w:t>
      </w:r>
      <w:r>
        <w:t>A central Latter-day Saint doctrine is eternal marriage — that temple sealing binds spouses beyond death. Jesus taught the opposite: in the resurrection people “neither marry, nor are given in marriage” (</w:t>
      </w:r>
      <w:hyperlink r:id="rId173">
        <w:r w:rsidR="00A32788">
          <w:rPr>
            <w:color w:val="0563C1"/>
            <w:u w:val="single"/>
          </w:rPr>
          <w:t>Matthew 22:30</w:t>
        </w:r>
      </w:hyperlink>
      <w:r>
        <w:t xml:space="preserve">; </w:t>
      </w:r>
      <w:hyperlink r:id="rId174">
        <w:r w:rsidR="00A32788">
          <w:rPr>
            <w:color w:val="0563C1"/>
            <w:u w:val="single"/>
          </w:rPr>
          <w:t>Mark 12:25</w:t>
        </w:r>
      </w:hyperlink>
      <w:r>
        <w:t xml:space="preserve">; </w:t>
      </w:r>
      <w:hyperlink r:id="rId175">
        <w:r w:rsidR="00A32788">
          <w:rPr>
            <w:color w:val="0563C1"/>
            <w:u w:val="single"/>
          </w:rPr>
          <w:t>Luke 20:35</w:t>
        </w:r>
      </w:hyperlink>
      <w:r>
        <w:t>), and Paul says a wife is bound to her husband only “as long as he liveth” (</w:t>
      </w:r>
      <w:hyperlink r:id="rId176">
        <w:r w:rsidR="00A32788">
          <w:rPr>
            <w:color w:val="1155CC"/>
            <w:u w:val="single"/>
          </w:rPr>
          <w:t>Romans 7:2-3</w:t>
        </w:r>
      </w:hyperlink>
      <w:r>
        <w:t>). The distinctive doctrine contradicts the New Testament it claims to restore.</w:t>
      </w:r>
    </w:p>
    <w:p w14:paraId="0761DA4A" w14:textId="77777777" w:rsidR="00A32788" w:rsidRDefault="00000000">
      <w:pPr>
        <w:spacing w:before="30" w:after="30"/>
      </w:pPr>
      <w:r>
        <w:rPr>
          <w:b/>
          <w:bCs/>
          <w:color w:val="2E5496"/>
          <w:sz w:val="20"/>
          <w:szCs w:val="20"/>
        </w:rPr>
        <w:t>Substantiation</w:t>
      </w:r>
    </w:p>
    <w:p w14:paraId="50000FD7" w14:textId="77777777" w:rsidR="00A32788" w:rsidRDefault="00000000">
      <w:pPr>
        <w:numPr>
          <w:ilvl w:val="0"/>
          <w:numId w:val="3"/>
        </w:numPr>
        <w:spacing w:after="60"/>
      </w:pPr>
      <w:r>
        <w:rPr>
          <w:b/>
          <w:bCs/>
        </w:rPr>
        <w:t xml:space="preserve">What the passages say. </w:t>
      </w:r>
      <w:r>
        <w:t>Pressed by the Sadducees about a woman married seven times, Jesus answered plainly that “in the resurrection they neither marry, nor are given in marriage, but are as the angels of God” (</w:t>
      </w:r>
      <w:hyperlink r:id="rId177">
        <w:r w:rsidR="00A32788">
          <w:rPr>
            <w:color w:val="0563C1"/>
            <w:u w:val="single"/>
          </w:rPr>
          <w:t>Matthew 22:30</w:t>
        </w:r>
      </w:hyperlink>
      <w:r>
        <w:t xml:space="preserve">; </w:t>
      </w:r>
      <w:hyperlink r:id="rId178">
        <w:r w:rsidR="00A32788">
          <w:rPr>
            <w:color w:val="0563C1"/>
            <w:u w:val="single"/>
          </w:rPr>
          <w:t>Mark 12:25</w:t>
        </w:r>
      </w:hyperlink>
      <w:r>
        <w:t xml:space="preserve">; </w:t>
      </w:r>
      <w:hyperlink r:id="rId179">
        <w:r w:rsidR="00A32788">
          <w:rPr>
            <w:color w:val="0563C1"/>
            <w:u w:val="single"/>
          </w:rPr>
          <w:t>Luke 20:35</w:t>
        </w:r>
      </w:hyperlink>
      <w:r>
        <w:t>). Paul applies the same principle to the marriage bond itself: a wife is bound only “as long as her husband liveth,” and death frees her from that law (</w:t>
      </w:r>
      <w:hyperlink r:id="rId180">
        <w:r w:rsidR="00A32788">
          <w:rPr>
            <w:color w:val="1155CC"/>
            <w:u w:val="single"/>
          </w:rPr>
          <w:t>Romans 7:2–3</w:t>
        </w:r>
      </w:hyperlink>
      <w:r>
        <w:t>). Both treat marriage as an ordinance of this life that death dissolves — the opposite of the temple sealing the Church calls essential to exaltation.</w:t>
      </w:r>
    </w:p>
    <w:p w14:paraId="2D6C8578" w14:textId="77777777" w:rsidR="00A32788" w:rsidRDefault="00000000">
      <w:pPr>
        <w:spacing w:before="30" w:after="30"/>
      </w:pPr>
      <w:r>
        <w:rPr>
          <w:b/>
          <w:bCs/>
          <w:color w:val="595959"/>
          <w:sz w:val="20"/>
          <w:szCs w:val="20"/>
        </w:rPr>
        <w:t>Counterarguments</w:t>
      </w:r>
    </w:p>
    <w:p w14:paraId="374928AE" w14:textId="77777777" w:rsidR="00A32788" w:rsidRDefault="00000000">
      <w:pPr>
        <w:numPr>
          <w:ilvl w:val="0"/>
          <w:numId w:val="3"/>
        </w:numPr>
        <w:spacing w:after="70"/>
      </w:pPr>
      <w:r>
        <w:rPr>
          <w:b/>
          <w:bCs/>
        </w:rPr>
        <w:lastRenderedPageBreak/>
        <w:t>“‘Whatsoever thou shalt bind on earth shall be bound in heaven’ (</w:t>
      </w:r>
      <w:hyperlink r:id="rId181">
        <w:r w:rsidR="00A32788">
          <w:rPr>
            <w:b/>
            <w:bCs/>
            <w:color w:val="1155CC"/>
            <w:u w:val="single"/>
          </w:rPr>
          <w:t>Matthew 16:19</w:t>
        </w:r>
      </w:hyperlink>
      <w:r>
        <w:rPr>
          <w:b/>
          <w:bCs/>
        </w:rPr>
        <w:t xml:space="preserve">) means God will seal marriages in heaven.” </w:t>
      </w:r>
      <w:r>
        <w:t xml:space="preserve">— That passage is about the authority to forgive and to make binding decisions in the church — it is repeated in </w:t>
      </w:r>
      <w:hyperlink r:id="rId182">
        <w:r w:rsidR="00A32788">
          <w:rPr>
            <w:color w:val="1155CC"/>
            <w:u w:val="single"/>
          </w:rPr>
          <w:t>Matthew 18:18</w:t>
        </w:r>
      </w:hyperlink>
      <w:r>
        <w:t xml:space="preserve"> in the context of resolving disputes — and says nothing about marriage. Reading ‘marriage continues in heaven’ into ‘bind and loose’ requires overriding Jesus’ direct, explicit statement that in the resurrection there is no marriage, which is the plain text on the actual subject.</w:t>
      </w:r>
    </w:p>
    <w:p w14:paraId="0CAA7E1F" w14:textId="77777777" w:rsidR="00A32788" w:rsidRDefault="00000000">
      <w:pPr>
        <w:numPr>
          <w:ilvl w:val="0"/>
          <w:numId w:val="3"/>
        </w:numPr>
        <w:spacing w:after="70"/>
      </w:pPr>
      <w:r>
        <w:rPr>
          <w:b/>
          <w:bCs/>
        </w:rPr>
        <w:t xml:space="preserve">“God made Adam and Eve ‘one flesh,’ so marriage was meant to be eternal.” </w:t>
      </w:r>
      <w:r>
        <w:t>— ‘One flesh’ (</w:t>
      </w:r>
      <w:hyperlink r:id="rId183">
        <w:r w:rsidR="00A32788">
          <w:rPr>
            <w:color w:val="1155CC"/>
            <w:u w:val="single"/>
          </w:rPr>
          <w:t>Genesis 2:24</w:t>
        </w:r>
      </w:hyperlink>
      <w:r>
        <w:t>) describes the union of husband and wife in this life — Jesus himself quotes it about earthly marriage and divorce (</w:t>
      </w:r>
      <w:hyperlink r:id="rId184">
        <w:r w:rsidR="00A32788">
          <w:rPr>
            <w:color w:val="1155CC"/>
            <w:u w:val="single"/>
          </w:rPr>
          <w:t>Matthew 19:5–6</w:t>
        </w:r>
      </w:hyperlink>
      <w:r>
        <w:t>) — not a promise that marriage persists after death. And it is Jesus who then says that at the resurrection there is no marriage; Paul likewise treats death as ending the marriage bond (</w:t>
      </w:r>
      <w:hyperlink r:id="rId185">
        <w:r w:rsidR="00A32788">
          <w:rPr>
            <w:color w:val="1155CC"/>
            <w:u w:val="single"/>
          </w:rPr>
          <w:t>Romans 7:2</w:t>
        </w:r>
      </w:hyperlink>
      <w:r>
        <w:t>). ‘One flesh’ cannot be stretched to contradict Christ’s own words about the resurrection.</w:t>
      </w:r>
    </w:p>
    <w:p w14:paraId="03B515C0" w14:textId="77777777" w:rsidR="00A32788" w:rsidRDefault="00A32788">
      <w:pPr>
        <w:pBdr>
          <w:bottom w:val="single" w:sz="4" w:space="2" w:color="DDDDDD"/>
        </w:pBdr>
        <w:spacing w:before="60" w:after="60"/>
      </w:pPr>
    </w:p>
    <w:p w14:paraId="551019DA" w14:textId="77777777" w:rsidR="00A32788" w:rsidRDefault="00000000">
      <w:pPr>
        <w:pStyle w:val="Heading2"/>
      </w:pPr>
      <w:r>
        <w:t>The temple endowment was borrowed from Freemasonry</w:t>
      </w:r>
    </w:p>
    <w:p w14:paraId="65BC9563" w14:textId="77777777" w:rsidR="00A32788" w:rsidRDefault="00000000">
      <w:pPr>
        <w:spacing w:before="20" w:after="90"/>
      </w:pPr>
      <w:r>
        <w:rPr>
          <w:b/>
          <w:bCs/>
          <w:color w:val="7A1F2B"/>
        </w:rPr>
        <w:t xml:space="preserve">Claim.  </w:t>
      </w:r>
      <w:r>
        <w:t>Joseph became a Freemason on March 15, 1842, and introduced the temple endowment seven weeks later, sharing Masonry’s grips, signs, penalties, aprons, and new name. The endowment is borrowed 19th-century ritual, not a restored ancient ordinance — and it was altered in 1990.</w:t>
      </w:r>
    </w:p>
    <w:p w14:paraId="0EBBE4F7" w14:textId="77777777" w:rsidR="00A32788" w:rsidRDefault="00000000">
      <w:pPr>
        <w:spacing w:before="30" w:after="30"/>
      </w:pPr>
      <w:r>
        <w:rPr>
          <w:b/>
          <w:bCs/>
          <w:color w:val="2E5496"/>
          <w:sz w:val="20"/>
          <w:szCs w:val="20"/>
        </w:rPr>
        <w:t>Substantiation</w:t>
      </w:r>
    </w:p>
    <w:p w14:paraId="594B7DB8" w14:textId="77777777" w:rsidR="00A32788" w:rsidRDefault="00000000">
      <w:pPr>
        <w:numPr>
          <w:ilvl w:val="0"/>
          <w:numId w:val="3"/>
        </w:numPr>
        <w:pBdr>
          <w:top w:val="nil"/>
          <w:left w:val="nil"/>
          <w:bottom w:val="nil"/>
          <w:right w:val="nil"/>
          <w:between w:val="nil"/>
        </w:pBdr>
        <w:spacing w:after="55"/>
      </w:pPr>
      <w:r>
        <w:rPr>
          <w:b/>
          <w:bCs/>
          <w:color w:val="000000"/>
        </w:rPr>
        <w:t xml:space="preserve">The Church’s own page </w:t>
      </w:r>
      <w:r>
        <w:rPr>
          <w:color w:val="000000"/>
        </w:rPr>
        <w:t xml:space="preserve">on Masonry discusses the link and calls Masonry a degenerate remnant that “inspired” Joseph; documented Freemasonry only goes back to about </w:t>
      </w:r>
      <w:r>
        <w:t>1600 — its grips, signs, and penalties are 17th- and 18th-century inventions — so they cannot be remnants of an ordinance from Solomon’s temple or any biblical-era rite, and an endowment assembled from them is not “restored” antiquity.</w:t>
      </w:r>
      <w:r>
        <w:rPr>
          <w:color w:val="000000"/>
        </w:rPr>
        <w:t xml:space="preserve"> </w:t>
      </w:r>
      <w:hyperlink r:id="rId186">
        <w:r w:rsidR="00A32788">
          <w:rPr>
            <w:color w:val="0563C1"/>
            <w:u w:val="single"/>
          </w:rPr>
          <w:t>Church History Topics: Masonry</w:t>
        </w:r>
      </w:hyperlink>
    </w:p>
    <w:p w14:paraId="4022D934" w14:textId="77777777" w:rsidR="00A32788" w:rsidRDefault="00000000">
      <w:pPr>
        <w:numPr>
          <w:ilvl w:val="0"/>
          <w:numId w:val="3"/>
        </w:numPr>
        <w:pBdr>
          <w:top w:val="nil"/>
          <w:left w:val="nil"/>
          <w:bottom w:val="nil"/>
          <w:right w:val="nil"/>
          <w:between w:val="nil"/>
        </w:pBdr>
        <w:spacing w:after="55"/>
      </w:pPr>
      <w:r>
        <w:rPr>
          <w:b/>
          <w:bCs/>
          <w:color w:val="000000"/>
        </w:rPr>
        <w:t xml:space="preserve">The shared elements. </w:t>
      </w:r>
      <w:r>
        <w:rPr>
          <w:color w:val="000000"/>
        </w:rPr>
        <w:t>The endowment and Masonic ritual share specific hand grips (tokens), signs and arm positions, penalties (including the pre-1990 throat- and body-gesture penalties), aprons, passwords, and the giving of a “new name” — all introduced within weeks of Joseph’s initiation.</w:t>
      </w:r>
    </w:p>
    <w:p w14:paraId="13F3862C" w14:textId="77777777" w:rsidR="00A32788" w:rsidRDefault="00000000">
      <w:pPr>
        <w:numPr>
          <w:ilvl w:val="0"/>
          <w:numId w:val="3"/>
        </w:numPr>
        <w:pBdr>
          <w:top w:val="nil"/>
          <w:left w:val="nil"/>
          <w:bottom w:val="nil"/>
          <w:right w:val="nil"/>
          <w:between w:val="nil"/>
        </w:pBdr>
        <w:spacing w:after="55"/>
      </w:pPr>
      <w:r>
        <w:rPr>
          <w:b/>
          <w:bCs/>
          <w:color w:val="000000"/>
        </w:rPr>
        <w:t xml:space="preserve">The access contradiction. </w:t>
      </w:r>
      <w:r>
        <w:rPr>
          <w:color w:val="000000"/>
        </w:rPr>
        <w:t>The Church’s page contrasts Masonry’s “strict guidelines about who could join” with Joseph’s wish to give the endowment “even to the weakest of the Saints.” But a temple recommend, with its worthiness interview, is itself a strict-access requirement — so the distinction the page draws does not hold.</w:t>
      </w:r>
    </w:p>
    <w:p w14:paraId="006EF724" w14:textId="77777777" w:rsidR="00A32788" w:rsidRDefault="00000000">
      <w:pPr>
        <w:numPr>
          <w:ilvl w:val="0"/>
          <w:numId w:val="3"/>
        </w:numPr>
        <w:pBdr>
          <w:top w:val="nil"/>
          <w:left w:val="nil"/>
          <w:bottom w:val="nil"/>
          <w:right w:val="nil"/>
          <w:between w:val="nil"/>
        </w:pBdr>
        <w:spacing w:after="55"/>
      </w:pPr>
      <w:r>
        <w:rPr>
          <w:b/>
          <w:bCs/>
          <w:color w:val="000000"/>
        </w:rPr>
        <w:t xml:space="preserve">Scholarship (outside support). </w:t>
      </w:r>
      <w:r>
        <w:rPr>
          <w:color w:val="000000"/>
        </w:rPr>
        <w:t xml:space="preserve">Michael W. Homer, Joseph’s Temples: The Dynamic Relationship between Freemasonry and Mormonism (University of Utah Press, 2014), documents the direct borrowing in detail. </w:t>
      </w:r>
      <w:hyperlink r:id="rId187">
        <w:r w:rsidR="00A32788">
          <w:rPr>
            <w:color w:val="0563C1"/>
            <w:u w:val="single"/>
          </w:rPr>
          <w:t>Homer, Joseph’s Temples (University of Utah Press)</w:t>
        </w:r>
      </w:hyperlink>
    </w:p>
    <w:p w14:paraId="3C0BD98C" w14:textId="77777777" w:rsidR="00A32788" w:rsidRDefault="00000000">
      <w:pPr>
        <w:spacing w:before="40" w:after="30"/>
        <w:ind w:left="200"/>
      </w:pPr>
      <w:r>
        <w:rPr>
          <w:b/>
          <w:bCs/>
          <w:color w:val="0F6E64"/>
        </w:rPr>
        <w:t xml:space="preserve">Before. </w:t>
      </w:r>
      <w:r>
        <w:t>The endowment was taught as an unchanging ancient ordinance, penalties included.</w:t>
      </w:r>
    </w:p>
    <w:p w14:paraId="2DA5B5EA" w14:textId="77777777" w:rsidR="00A32788" w:rsidRDefault="00000000">
      <w:pPr>
        <w:spacing w:after="120"/>
        <w:ind w:left="200"/>
      </w:pPr>
      <w:r>
        <w:rPr>
          <w:b/>
          <w:bCs/>
          <w:color w:val="0F6E64"/>
        </w:rPr>
        <w:t xml:space="preserve">Now. </w:t>
      </w:r>
      <w:r>
        <w:t>The penalty gestures were removed in 1990, and the ceremony has been repeatedly revised.</w:t>
      </w:r>
    </w:p>
    <w:p w14:paraId="4940A015" w14:textId="77777777" w:rsidR="00A32788" w:rsidRDefault="00000000">
      <w:pPr>
        <w:spacing w:before="30" w:after="30"/>
      </w:pPr>
      <w:r>
        <w:rPr>
          <w:b/>
          <w:bCs/>
          <w:color w:val="595959"/>
          <w:sz w:val="20"/>
          <w:szCs w:val="20"/>
        </w:rPr>
        <w:t>Counterarguments</w:t>
      </w:r>
    </w:p>
    <w:p w14:paraId="4F4A29CF" w14:textId="77777777" w:rsidR="00A32788" w:rsidRDefault="00000000">
      <w:pPr>
        <w:numPr>
          <w:ilvl w:val="0"/>
          <w:numId w:val="3"/>
        </w:numPr>
        <w:pBdr>
          <w:top w:val="nil"/>
          <w:left w:val="nil"/>
          <w:bottom w:val="nil"/>
          <w:right w:val="nil"/>
          <w:between w:val="nil"/>
        </w:pBdr>
        <w:spacing w:after="70"/>
      </w:pPr>
      <w:r>
        <w:rPr>
          <w:b/>
          <w:bCs/>
          <w:color w:val="000000"/>
        </w:rPr>
        <w:t xml:space="preserve">“Masonry is a corrupted remnant of the original ordinance, so resemblance is expected.” </w:t>
      </w:r>
      <w:r>
        <w:rPr>
          <w:color w:val="000000"/>
        </w:rPr>
        <w:t>— The overlap appears within weeks of his initiation, documented Freemasonry only goes back to the 1600s, and removing parts in 1990 contradicts an “unchanging” ordinance.</w:t>
      </w:r>
    </w:p>
    <w:p w14:paraId="6B32BE6B" w14:textId="77777777" w:rsidR="00A32788" w:rsidRDefault="00000000">
      <w:pPr>
        <w:numPr>
          <w:ilvl w:val="0"/>
          <w:numId w:val="3"/>
        </w:numPr>
        <w:pBdr>
          <w:top w:val="nil"/>
          <w:left w:val="nil"/>
          <w:bottom w:val="nil"/>
          <w:right w:val="nil"/>
          <w:between w:val="nil"/>
        </w:pBdr>
        <w:spacing w:after="70"/>
      </w:pPr>
      <w:r>
        <w:rPr>
          <w:b/>
          <w:bCs/>
          <w:color w:val="000000"/>
        </w:rPr>
        <w:t xml:space="preserve">“The endowment’s meaning is entirely different from Masonry’s — it’s about exaltation, not fraternity.” </w:t>
      </w:r>
      <w:r>
        <w:rPr>
          <w:color w:val="000000"/>
        </w:rPr>
        <w:t>— The theology differs, but the borrowed forms — grips, signs, penalties, aprons, the new name — are what’s at issue, and they appeared within weeks of Joseph’s initiation. New meaning layered onto borrowed ritual is still borrowed ritual.</w:t>
      </w:r>
    </w:p>
    <w:p w14:paraId="14BFEF02" w14:textId="77777777" w:rsidR="00A32788" w:rsidRDefault="00000000">
      <w:pPr>
        <w:numPr>
          <w:ilvl w:val="0"/>
          <w:numId w:val="3"/>
        </w:numPr>
        <w:pBdr>
          <w:top w:val="nil"/>
          <w:left w:val="nil"/>
          <w:bottom w:val="nil"/>
          <w:right w:val="nil"/>
          <w:between w:val="nil"/>
        </w:pBdr>
        <w:spacing w:after="70"/>
      </w:pPr>
      <w:r>
        <w:rPr>
          <w:b/>
          <w:bCs/>
          <w:color w:val="000000"/>
        </w:rPr>
        <w:t xml:space="preserve">“Ancient temples had washings, anointings, garments, and new names; Masonry preserved fragments, so the parallels point to a shared ancient source.” </w:t>
      </w:r>
      <w:r>
        <w:rPr>
          <w:color w:val="000000"/>
        </w:rPr>
        <w:t xml:space="preserve">— The specific forms Joseph adopted — the grips, </w:t>
      </w:r>
      <w:r>
        <w:t xml:space="preserve">“due-guards” (set hand-and-arm positions that accompany each covenant’s sign), </w:t>
      </w:r>
      <w:r>
        <w:rPr>
          <w:color w:val="000000"/>
        </w:rPr>
        <w:t xml:space="preserve">signs, and death-penalty oaths — are documented 18th-century Masonic developments, not features of any </w:t>
      </w:r>
      <w:r>
        <w:rPr>
          <w:color w:val="000000"/>
        </w:rPr>
        <w:lastRenderedPageBreak/>
        <w:t>ancient temple, and they entered the endowment within weeks of his 1842 initiation. The 1990 removal of those very penalties is fatal to the ‘ancient and unchanging’ claim.</w:t>
      </w:r>
    </w:p>
    <w:p w14:paraId="2240D501" w14:textId="77777777" w:rsidR="00A32788" w:rsidRDefault="00A32788">
      <w:pPr>
        <w:pBdr>
          <w:bottom w:val="single" w:sz="4" w:space="2" w:color="DDDDDD"/>
        </w:pBdr>
        <w:spacing w:before="60" w:after="60"/>
      </w:pPr>
    </w:p>
    <w:p w14:paraId="2C384076" w14:textId="77777777" w:rsidR="00A32788" w:rsidRDefault="00000000">
      <w:pPr>
        <w:pStyle w:val="Heading2"/>
      </w:pPr>
      <w:r>
        <w:t>Leaders joined Freemasonry despite the book’s condemnation of “secret combinations”</w:t>
      </w:r>
    </w:p>
    <w:p w14:paraId="050DB215" w14:textId="77777777" w:rsidR="00A32788" w:rsidRDefault="00000000">
      <w:pPr>
        <w:spacing w:before="20" w:after="90"/>
      </w:pPr>
      <w:r>
        <w:rPr>
          <w:b/>
          <w:bCs/>
          <w:color w:val="7A1F2B"/>
        </w:rPr>
        <w:t xml:space="preserve">Claim.  </w:t>
      </w:r>
      <w:r>
        <w:t>The Book of Mormon repeatedly condemns secret oath-bound societies — “secret combinations” with oaths, signs, and penalties (Ether 8) — yet Joseph Smith and leaders like Brigham Young joined Freemasonry, which involves exactly such secret oaths, signs, and grips. The practice contradicts the book’s own warnings.</w:t>
      </w:r>
    </w:p>
    <w:p w14:paraId="7975807B" w14:textId="77777777" w:rsidR="00A32788" w:rsidRDefault="00000000">
      <w:pPr>
        <w:spacing w:before="30" w:after="30"/>
      </w:pPr>
      <w:r>
        <w:rPr>
          <w:b/>
          <w:bCs/>
          <w:color w:val="2E5496"/>
          <w:sz w:val="20"/>
          <w:szCs w:val="20"/>
        </w:rPr>
        <w:t>Substantiation</w:t>
      </w:r>
    </w:p>
    <w:p w14:paraId="2BCED902" w14:textId="77777777" w:rsidR="00A32788" w:rsidRDefault="00000000">
      <w:pPr>
        <w:numPr>
          <w:ilvl w:val="0"/>
          <w:numId w:val="3"/>
        </w:numPr>
        <w:spacing w:after="60"/>
      </w:pPr>
      <w:r>
        <w:rPr>
          <w:b/>
          <w:bCs/>
        </w:rPr>
        <w:t xml:space="preserve">The book’s own warning. </w:t>
      </w:r>
      <w:r>
        <w:t>The Book of Mormon warns at length against “secret combinations” bound by oaths, signs, and penalties, and has Moroni say he records them expressly to warn a latter-day people (</w:t>
      </w:r>
      <w:hyperlink r:id="rId188">
        <w:r w:rsidR="00A32788">
          <w:rPr>
            <w:color w:val="1155CC"/>
            <w:u w:val="single"/>
          </w:rPr>
          <w:t>Ether 8:18–26</w:t>
        </w:r>
      </w:hyperlink>
      <w:r>
        <w:t>) — yet Joseph Smith and later leaders entered Freemasonry, whose rites turn on exactly those secret oaths, signs, and grips.</w:t>
      </w:r>
      <w:hyperlink r:id="rId189">
        <w:r w:rsidR="00A32788">
          <w:t xml:space="preserve"> </w:t>
        </w:r>
      </w:hyperlink>
    </w:p>
    <w:p w14:paraId="3967F1FA" w14:textId="77777777" w:rsidR="00A32788" w:rsidRDefault="00000000">
      <w:pPr>
        <w:numPr>
          <w:ilvl w:val="0"/>
          <w:numId w:val="3"/>
        </w:numPr>
        <w:spacing w:after="60"/>
      </w:pPr>
      <w:r>
        <w:rPr>
          <w:b/>
          <w:bCs/>
        </w:rPr>
        <w:t xml:space="preserve">On the lodge. </w:t>
      </w:r>
      <w:r>
        <w:t>The Church’s Masonry topic documents the Nauvoo lodge and leaders’ participation in Freemasonry.</w:t>
      </w:r>
      <w:hyperlink r:id="rId190">
        <w:r w:rsidR="00A32788">
          <w:t xml:space="preserve"> </w:t>
        </w:r>
      </w:hyperlink>
      <w:hyperlink r:id="rId191">
        <w:r w:rsidR="00A32788">
          <w:rPr>
            <w:color w:val="1155CC"/>
            <w:u w:val="single"/>
          </w:rPr>
          <w:t>Church History Topics: Masonry</w:t>
        </w:r>
      </w:hyperlink>
    </w:p>
    <w:p w14:paraId="63BACBE6" w14:textId="77777777" w:rsidR="00A32788" w:rsidRDefault="00000000">
      <w:pPr>
        <w:spacing w:before="30" w:after="30"/>
      </w:pPr>
      <w:r>
        <w:rPr>
          <w:b/>
          <w:bCs/>
          <w:color w:val="595959"/>
          <w:sz w:val="20"/>
          <w:szCs w:val="20"/>
        </w:rPr>
        <w:t>Counterarguments</w:t>
      </w:r>
    </w:p>
    <w:p w14:paraId="102D2CB8" w14:textId="77777777" w:rsidR="00A32788" w:rsidRDefault="00000000">
      <w:pPr>
        <w:numPr>
          <w:ilvl w:val="0"/>
          <w:numId w:val="3"/>
        </w:numPr>
        <w:pBdr>
          <w:top w:val="nil"/>
          <w:left w:val="nil"/>
          <w:bottom w:val="nil"/>
          <w:right w:val="nil"/>
          <w:between w:val="nil"/>
        </w:pBdr>
        <w:spacing w:after="70"/>
      </w:pPr>
      <w:r>
        <w:rPr>
          <w:b/>
          <w:bCs/>
          <w:color w:val="000000"/>
        </w:rPr>
        <w:t xml:space="preserve">“The book condemns murderous conspiracies, not fraternal orders.” </w:t>
      </w:r>
      <w:r>
        <w:rPr>
          <w:color w:val="000000"/>
        </w:rPr>
        <w:t>— The book’s specific markers — secret oaths, signs, and death penalties for disclosure — match the Masonic ritual elements Joseph adopted weeks before introducing the endowment.</w:t>
      </w:r>
    </w:p>
    <w:p w14:paraId="3019537B" w14:textId="77777777" w:rsidR="00A32788" w:rsidRDefault="00A32788">
      <w:pPr>
        <w:pBdr>
          <w:bottom w:val="single" w:sz="4" w:space="2" w:color="DDDDDD"/>
        </w:pBdr>
        <w:spacing w:before="60" w:after="60"/>
      </w:pPr>
    </w:p>
    <w:p w14:paraId="56A457D8" w14:textId="77777777" w:rsidR="00A32788" w:rsidRDefault="00000000">
      <w:pPr>
        <w:pStyle w:val="Heading2"/>
      </w:pPr>
      <w:r>
        <w:t>Prophets taught doctrines the Church now rejects</w:t>
      </w:r>
    </w:p>
    <w:p w14:paraId="79CAE237" w14:textId="77777777" w:rsidR="00A32788" w:rsidRDefault="00000000">
      <w:pPr>
        <w:spacing w:before="20" w:after="90"/>
      </w:pPr>
      <w:r>
        <w:rPr>
          <w:b/>
          <w:bCs/>
          <w:color w:val="7A1F2B"/>
        </w:rPr>
        <w:t xml:space="preserve">Claim.  </w:t>
      </w:r>
      <w:r>
        <w:t>The Godhead doctrine itself shifted — from a near-trinitarian 1830 Book of Mormon (</w:t>
      </w:r>
      <w:hyperlink r:id="rId192">
        <w:r w:rsidR="00A32788">
          <w:rPr>
            <w:color w:val="1155CC"/>
            <w:u w:val="single"/>
          </w:rPr>
          <w:t>Mosiah 15</w:t>
        </w:r>
      </w:hyperlink>
      <w:r>
        <w:t>) to three distinct personages by 1843 (</w:t>
      </w:r>
      <w:hyperlink r:id="rId193">
        <w:r w:rsidR="00A32788">
          <w:rPr>
            <w:color w:val="1155CC"/>
            <w:u w:val="single"/>
          </w:rPr>
          <w:t>D&amp;C 130:22</w:t>
        </w:r>
      </w:hyperlink>
      <w:r>
        <w:t>). Brigham Young, as Church president, then taught that Adam was God the Father and that some sins required shedding the sinner’s blood. The Church now rejects both — disproving the claim that prophets will never lead the Church astray.</w:t>
      </w:r>
    </w:p>
    <w:p w14:paraId="775555A2" w14:textId="77777777" w:rsidR="00A32788" w:rsidRDefault="00000000">
      <w:pPr>
        <w:spacing w:before="30" w:after="30"/>
      </w:pPr>
      <w:r>
        <w:rPr>
          <w:b/>
          <w:bCs/>
          <w:color w:val="2E5496"/>
          <w:sz w:val="20"/>
          <w:szCs w:val="20"/>
        </w:rPr>
        <w:t>Substantiation</w:t>
      </w:r>
    </w:p>
    <w:p w14:paraId="1FC31938" w14:textId="77777777" w:rsidR="00A32788" w:rsidRDefault="00000000">
      <w:pPr>
        <w:numPr>
          <w:ilvl w:val="0"/>
          <w:numId w:val="3"/>
        </w:numPr>
        <w:pBdr>
          <w:top w:val="nil"/>
          <w:left w:val="nil"/>
          <w:bottom w:val="nil"/>
          <w:right w:val="nil"/>
          <w:between w:val="nil"/>
        </w:pBdr>
        <w:spacing w:after="55"/>
      </w:pPr>
      <w:r>
        <w:rPr>
          <w:b/>
          <w:bCs/>
          <w:color w:val="000000"/>
        </w:rPr>
        <w:t xml:space="preserve">Adam-God </w:t>
      </w:r>
      <w:r>
        <w:rPr>
          <w:color w:val="000000"/>
        </w:rPr>
        <w:t xml:space="preserve">was preached in conference (Journal of Discourses 1:50–51); President Kimball called it “false doctrine” in 1976. </w:t>
      </w:r>
      <w:hyperlink r:id="rId194">
        <w:r w:rsidR="00A32788">
          <w:rPr>
            <w:color w:val="0563C1"/>
            <w:u w:val="single"/>
          </w:rPr>
          <w:t>Kimball, 1976</w:t>
        </w:r>
      </w:hyperlink>
    </w:p>
    <w:p w14:paraId="1AAB4C71" w14:textId="77777777" w:rsidR="00A32788" w:rsidRDefault="00000000">
      <w:pPr>
        <w:numPr>
          <w:ilvl w:val="0"/>
          <w:numId w:val="3"/>
        </w:numPr>
        <w:pBdr>
          <w:top w:val="nil"/>
          <w:left w:val="nil"/>
          <w:bottom w:val="nil"/>
          <w:right w:val="nil"/>
          <w:between w:val="nil"/>
        </w:pBdr>
        <w:spacing w:after="55"/>
      </w:pPr>
      <w:r>
        <w:rPr>
          <w:b/>
          <w:bCs/>
          <w:color w:val="000000"/>
        </w:rPr>
        <w:t xml:space="preserve">Primary source: </w:t>
      </w:r>
      <w:hyperlink r:id="rId195">
        <w:r w:rsidR="00A32788">
          <w:rPr>
            <w:color w:val="0563C1"/>
            <w:u w:val="single"/>
          </w:rPr>
          <w:t>Journal of Discourses 1:50–51 (Wikisource)</w:t>
        </w:r>
      </w:hyperlink>
    </w:p>
    <w:p w14:paraId="38A04F63" w14:textId="77777777" w:rsidR="00A32788" w:rsidRDefault="00000000">
      <w:pPr>
        <w:numPr>
          <w:ilvl w:val="0"/>
          <w:numId w:val="3"/>
        </w:numPr>
        <w:pBdr>
          <w:top w:val="nil"/>
          <w:left w:val="nil"/>
          <w:bottom w:val="nil"/>
          <w:right w:val="nil"/>
          <w:between w:val="nil"/>
        </w:pBdr>
        <w:spacing w:after="55"/>
      </w:pPr>
      <w:r>
        <w:rPr>
          <w:b/>
          <w:bCs/>
          <w:color w:val="000000"/>
        </w:rPr>
        <w:t xml:space="preserve">Blood atonement </w:t>
      </w:r>
      <w:r>
        <w:rPr>
          <w:color w:val="000000"/>
        </w:rPr>
        <w:t xml:space="preserve">(Journal of Discourses 4:215–221, Sept. 21, 1856) taught that some grave sins are not covered by Christ’s atonement and require the sinner’s own blood to be shed; it is now disavowed by the Church. </w:t>
      </w:r>
      <w:hyperlink r:id="rId196">
        <w:r w:rsidR="00A32788">
          <w:rPr>
            <w:color w:val="0563C1"/>
            <w:u w:val="single"/>
          </w:rPr>
          <w:t>Peace and Violence essay</w:t>
        </w:r>
      </w:hyperlink>
    </w:p>
    <w:p w14:paraId="7912559D" w14:textId="77777777" w:rsidR="00A32788" w:rsidRDefault="00000000">
      <w:pPr>
        <w:numPr>
          <w:ilvl w:val="0"/>
          <w:numId w:val="3"/>
        </w:numPr>
        <w:pBdr>
          <w:top w:val="nil"/>
          <w:left w:val="nil"/>
          <w:bottom w:val="nil"/>
          <w:right w:val="nil"/>
          <w:between w:val="nil"/>
        </w:pBdr>
        <w:spacing w:after="55"/>
      </w:pPr>
      <w:r>
        <w:rPr>
          <w:b/>
          <w:bCs/>
          <w:color w:val="000000"/>
        </w:rPr>
        <w:t xml:space="preserve">Primary source: </w:t>
      </w:r>
      <w:hyperlink r:id="rId197">
        <w:r w:rsidR="00A32788">
          <w:rPr>
            <w:color w:val="0563C1"/>
            <w:u w:val="single"/>
          </w:rPr>
          <w:t>Journal of Discourses 4:215–221 (Wikisource)</w:t>
        </w:r>
      </w:hyperlink>
    </w:p>
    <w:p w14:paraId="4F6B6145" w14:textId="77777777" w:rsidR="00A32788" w:rsidRDefault="00000000">
      <w:pPr>
        <w:spacing w:before="30" w:after="30"/>
      </w:pPr>
      <w:r>
        <w:rPr>
          <w:b/>
          <w:bCs/>
          <w:color w:val="595959"/>
          <w:sz w:val="20"/>
          <w:szCs w:val="20"/>
        </w:rPr>
        <w:t>Counterarguments</w:t>
      </w:r>
    </w:p>
    <w:p w14:paraId="657F6A02" w14:textId="77777777" w:rsidR="00A32788" w:rsidRDefault="00000000">
      <w:pPr>
        <w:numPr>
          <w:ilvl w:val="0"/>
          <w:numId w:val="3"/>
        </w:numPr>
        <w:pBdr>
          <w:top w:val="nil"/>
          <w:left w:val="nil"/>
          <w:bottom w:val="nil"/>
          <w:right w:val="nil"/>
          <w:between w:val="nil"/>
        </w:pBdr>
        <w:spacing w:after="70"/>
      </w:pPr>
      <w:r>
        <w:rPr>
          <w:b/>
          <w:bCs/>
          <w:color w:val="000000"/>
        </w:rPr>
        <w:t xml:space="preserve">“These were Brigham Young’s personal speculations.” </w:t>
      </w:r>
      <w:r>
        <w:rPr>
          <w:color w:val="000000"/>
        </w:rPr>
        <w:t>— He taught them publicly as president, with multiple scribes recording him. Either a prophet taught false doctrine as revelation, or a later prophet wrongly condemned true doctrine — both break the “never lead astray” promise.</w:t>
      </w:r>
    </w:p>
    <w:p w14:paraId="6412B5AD" w14:textId="77777777" w:rsidR="00A32788" w:rsidRDefault="00000000">
      <w:pPr>
        <w:numPr>
          <w:ilvl w:val="0"/>
          <w:numId w:val="3"/>
        </w:numPr>
        <w:pBdr>
          <w:top w:val="nil"/>
          <w:left w:val="nil"/>
          <w:bottom w:val="nil"/>
          <w:right w:val="nil"/>
          <w:between w:val="nil"/>
        </w:pBdr>
        <w:spacing w:after="70"/>
      </w:pPr>
      <w:r>
        <w:rPr>
          <w:b/>
          <w:bCs/>
          <w:color w:val="000000"/>
        </w:rPr>
        <w:t xml:space="preserve">“Adam-God was never canonized or approved by a church council, so it was never ‘doctrine.’” </w:t>
      </w:r>
      <w:r>
        <w:rPr>
          <w:color w:val="000000"/>
        </w:rPr>
        <w:t>— Brigham Young taught it as prophet, over the pulpit in General Conference, as revealed truth — and he staked his prophetic authority on his sermons, declaring that when he preached, the people could “call [it] Scripture” (</w:t>
      </w:r>
      <w:hyperlink r:id="rId198">
        <w:r w:rsidR="00A32788">
          <w:rPr>
            <w:color w:val="1155CC"/>
            <w:u w:val="single"/>
          </w:rPr>
          <w:t>Journal of Discourses 13:95</w:t>
        </w:r>
      </w:hyperlink>
      <w:r>
        <w:rPr>
          <w:color w:val="000000"/>
        </w:rPr>
        <w:t xml:space="preserve">). Defining “doctrine” as “only what a council formally canonized” is an after-the-fact filter that would also disqualify much of what members are taught today as bedrock doctrine — that God was once a mortal man (“as man now is, God once was”), that humans may become gods, the three degrees of glory, premortal spirit birth, and most of the temple </w:t>
      </w:r>
      <w:r>
        <w:rPr>
          <w:color w:val="000000"/>
        </w:rPr>
        <w:lastRenderedPageBreak/>
        <w:t>endowment, none of which a church council ever formally canonized either. The Church cannot invoke “not canonized” only when a prophet’s teaching later proves embarrassing.</w:t>
      </w:r>
    </w:p>
    <w:p w14:paraId="3CD09DB7" w14:textId="77777777" w:rsidR="00A32788" w:rsidRDefault="00000000">
      <w:pPr>
        <w:numPr>
          <w:ilvl w:val="0"/>
          <w:numId w:val="3"/>
        </w:numPr>
        <w:pBdr>
          <w:top w:val="nil"/>
          <w:left w:val="nil"/>
          <w:bottom w:val="nil"/>
          <w:right w:val="nil"/>
          <w:between w:val="nil"/>
        </w:pBdr>
        <w:spacing w:after="70"/>
      </w:pPr>
      <w:r>
        <w:rPr>
          <w:b/>
          <w:bCs/>
          <w:color w:val="000000"/>
        </w:rPr>
        <w:t xml:space="preserve">“Brigham Young was misreported or misunderstood.” </w:t>
      </w:r>
      <w:r>
        <w:rPr>
          <w:color w:val="000000"/>
        </w:rPr>
        <w:t xml:space="preserve">— The teaching is preserved in multiple independent contemporary records, he repeated it over many years, and a later Church president (Spencer W. Kimball) called it ‘false doctrine’ — </w:t>
      </w:r>
      <w:r>
        <w:rPr>
          <w:b/>
          <w:bCs/>
          <w:color w:val="000000"/>
        </w:rPr>
        <w:t>not</w:t>
      </w:r>
      <w:r>
        <w:rPr>
          <w:color w:val="000000"/>
        </w:rPr>
        <w:t xml:space="preserve"> a misquotation. The Church’s own response treats it as something a prophet actually taught and got wrong.</w:t>
      </w:r>
    </w:p>
    <w:p w14:paraId="2A3F5697" w14:textId="77777777" w:rsidR="00A32788" w:rsidRDefault="00A32788">
      <w:pPr>
        <w:pBdr>
          <w:bottom w:val="single" w:sz="4" w:space="2" w:color="DDDDDD"/>
        </w:pBdr>
        <w:spacing w:before="60" w:after="60"/>
      </w:pPr>
    </w:p>
    <w:p w14:paraId="5AE9A1EA" w14:textId="77777777" w:rsidR="00A32788" w:rsidRDefault="00000000">
      <w:pPr>
        <w:pStyle w:val="Heading2"/>
      </w:pPr>
      <w:r>
        <w:t>LDS temples do not match the biblical model</w:t>
      </w:r>
    </w:p>
    <w:p w14:paraId="4FF57DA6" w14:textId="77777777" w:rsidR="00A32788" w:rsidRDefault="00000000">
      <w:pPr>
        <w:spacing w:before="20" w:after="90"/>
      </w:pPr>
      <w:r>
        <w:rPr>
          <w:b/>
          <w:bCs/>
          <w:color w:val="7A1F2B"/>
        </w:rPr>
        <w:t xml:space="preserve">Claim.  </w:t>
      </w:r>
      <w:r>
        <w:t>LDS leaders claim their temples follow the biblical pattern, but they differ in access, ritual, function, and number, so the claim of biblical continuity does not hold.</w:t>
      </w:r>
    </w:p>
    <w:p w14:paraId="17E23BDF" w14:textId="77777777" w:rsidR="00A32788" w:rsidRDefault="00000000">
      <w:pPr>
        <w:spacing w:before="30" w:after="30"/>
      </w:pPr>
      <w:r>
        <w:rPr>
          <w:b/>
          <w:bCs/>
          <w:color w:val="2E5496"/>
          <w:sz w:val="20"/>
          <w:szCs w:val="20"/>
        </w:rPr>
        <w:t>Substantiation</w:t>
      </w:r>
    </w:p>
    <w:p w14:paraId="5D1FA96F" w14:textId="77777777" w:rsidR="00A32788" w:rsidRDefault="00000000">
      <w:pPr>
        <w:numPr>
          <w:ilvl w:val="0"/>
          <w:numId w:val="3"/>
        </w:numPr>
        <w:pBdr>
          <w:top w:val="nil"/>
          <w:left w:val="nil"/>
          <w:bottom w:val="nil"/>
          <w:right w:val="nil"/>
          <w:between w:val="nil"/>
        </w:pBdr>
        <w:spacing w:after="55"/>
      </w:pPr>
      <w:r>
        <w:rPr>
          <w:b/>
          <w:bCs/>
          <w:color w:val="000000"/>
        </w:rPr>
        <w:t xml:space="preserve">The contrast: </w:t>
      </w:r>
      <w:r>
        <w:rPr>
          <w:color w:val="000000"/>
        </w:rPr>
        <w:t xml:space="preserve">the Old Testament had </w:t>
      </w:r>
      <w:r>
        <w:rPr>
          <w:b/>
          <w:bCs/>
          <w:color w:val="000000"/>
        </w:rPr>
        <w:t>one</w:t>
      </w:r>
      <w:r>
        <w:rPr>
          <w:color w:val="000000"/>
        </w:rPr>
        <w:t xml:space="preserve"> central temple with animal sacrifice and priestly access (</w:t>
      </w:r>
      <w:hyperlink r:id="rId199">
        <w:r w:rsidR="00A32788">
          <w:rPr>
            <w:color w:val="1155CC"/>
            <w:u w:val="single"/>
          </w:rPr>
          <w:t>Leviticus</w:t>
        </w:r>
      </w:hyperlink>
      <w:r>
        <w:rPr>
          <w:color w:val="000000"/>
        </w:rPr>
        <w:t xml:space="preserve">; </w:t>
      </w:r>
      <w:hyperlink r:id="rId200">
        <w:r w:rsidR="00A32788">
          <w:rPr>
            <w:color w:val="1155CC"/>
            <w:u w:val="single"/>
          </w:rPr>
          <w:t>1 Kings 6–8</w:t>
        </w:r>
      </w:hyperlink>
      <w:r>
        <w:rPr>
          <w:color w:val="000000"/>
        </w:rPr>
        <w:t xml:space="preserve">); LDS temples are many, perform endowments, sealings, and proxy baptism, and require a worthiness interview. No such ordinances appear in the New Testament, and temple sacrifice ended after Christ. </w:t>
      </w:r>
      <w:hyperlink r:id="rId201">
        <w:r w:rsidR="00A32788">
          <w:rPr>
            <w:color w:val="0563C1"/>
            <w:u w:val="single"/>
          </w:rPr>
          <w:t>Temples topic</w:t>
        </w:r>
      </w:hyperlink>
    </w:p>
    <w:p w14:paraId="22B3F5D8" w14:textId="77777777" w:rsidR="00A32788" w:rsidRDefault="00000000">
      <w:pPr>
        <w:spacing w:before="30" w:after="30"/>
      </w:pPr>
      <w:r>
        <w:rPr>
          <w:b/>
          <w:bCs/>
          <w:color w:val="595959"/>
          <w:sz w:val="20"/>
          <w:szCs w:val="20"/>
        </w:rPr>
        <w:t>Counterarguments</w:t>
      </w:r>
    </w:p>
    <w:p w14:paraId="6CEB363C" w14:textId="77777777" w:rsidR="00A32788" w:rsidRDefault="00000000">
      <w:pPr>
        <w:numPr>
          <w:ilvl w:val="0"/>
          <w:numId w:val="3"/>
        </w:numPr>
        <w:pBdr>
          <w:top w:val="nil"/>
          <w:left w:val="nil"/>
          <w:bottom w:val="nil"/>
          <w:right w:val="nil"/>
          <w:between w:val="nil"/>
        </w:pBdr>
        <w:spacing w:after="70"/>
      </w:pPr>
      <w:r>
        <w:rPr>
          <w:b/>
          <w:bCs/>
          <w:color w:val="000000"/>
        </w:rPr>
        <w:t xml:space="preserve">“LDS temples restore ordinances lost since antiquity.” </w:t>
      </w:r>
      <w:r>
        <w:rPr>
          <w:color w:val="000000"/>
        </w:rPr>
        <w:t>— Then “biblical continuity” is rhetorical: the access, rituals, function, and number all differ fundamentally, and the New Testament shows no such practices.</w:t>
      </w:r>
    </w:p>
    <w:p w14:paraId="168C82AD" w14:textId="77777777" w:rsidR="00A32788" w:rsidRDefault="00000000">
      <w:pPr>
        <w:numPr>
          <w:ilvl w:val="0"/>
          <w:numId w:val="3"/>
        </w:numPr>
        <w:spacing w:after="80"/>
      </w:pPr>
      <w:r>
        <w:rPr>
          <w:b/>
          <w:bCs/>
        </w:rPr>
        <w:t>“Baptism for the dead is biblical — Paul mentions it (</w:t>
      </w:r>
      <w:hyperlink r:id="rId202">
        <w:r w:rsidR="00A32788">
          <w:rPr>
            <w:b/>
            <w:bCs/>
            <w:color w:val="1155CC"/>
            <w:u w:val="single"/>
          </w:rPr>
          <w:t>1 Corinthians 15:29</w:t>
        </w:r>
      </w:hyperlink>
      <w:r>
        <w:rPr>
          <w:b/>
          <w:bCs/>
        </w:rPr>
        <w:t xml:space="preserve">), and some early Christians practiced it.” </w:t>
      </w:r>
      <w:r>
        <w:t>— Paul does mention it — but in the third person, posed simply as a question (“what shall they do which are baptized for the dead”), neither explaining nor endorsing it, in the middle of an argument about resurrection, not the institution of an ordinance. The few groups later reported to have practiced proxy baptism (such as the Marcionites) were fringe sects the early church treated as heretical; it never was a mainstream Christian rite and left no mark on New Testament worship. A single passing allusion is not a warrant for the elaborate LDS temple system of vicarious baptism, sealing, and endowment — none of which appears anywhere in the New Testament.</w:t>
      </w:r>
    </w:p>
    <w:p w14:paraId="277DE976" w14:textId="77777777" w:rsidR="00A32788" w:rsidRDefault="00A32788">
      <w:pPr>
        <w:pBdr>
          <w:bottom w:val="single" w:sz="4" w:space="2" w:color="DDDDDD"/>
        </w:pBdr>
        <w:spacing w:before="60" w:after="60"/>
      </w:pPr>
    </w:p>
    <w:p w14:paraId="247219B4" w14:textId="77777777" w:rsidR="00A32788" w:rsidRDefault="00000000">
      <w:pPr>
        <w:pStyle w:val="Heading2"/>
      </w:pPr>
      <w:r>
        <w:t>Joseph inserted himself into the Bible (JST Genesis 50)</w:t>
      </w:r>
    </w:p>
    <w:p w14:paraId="4850CCF5" w14:textId="77777777" w:rsidR="00A32788" w:rsidRDefault="00000000">
      <w:pPr>
        <w:spacing w:before="20" w:after="90"/>
      </w:pPr>
      <w:r>
        <w:rPr>
          <w:b/>
          <w:bCs/>
          <w:color w:val="7A1F2B"/>
        </w:rPr>
        <w:t xml:space="preserve">Claim.  </w:t>
      </w:r>
      <w:r>
        <w:t>In his translation of the Bible, Joseph Smith added verses to Genesis 50 prophesying a “choice seer” named Joseph, son of Joseph — himself — despite the Bible’s repeated warnings against adding to scripture.</w:t>
      </w:r>
    </w:p>
    <w:p w14:paraId="5ED3A02E" w14:textId="77777777" w:rsidR="00A32788" w:rsidRDefault="00000000">
      <w:pPr>
        <w:spacing w:before="30" w:after="30"/>
      </w:pPr>
      <w:r>
        <w:rPr>
          <w:b/>
          <w:bCs/>
          <w:color w:val="2E5496"/>
          <w:sz w:val="20"/>
          <w:szCs w:val="20"/>
        </w:rPr>
        <w:t>Substantiation</w:t>
      </w:r>
    </w:p>
    <w:p w14:paraId="77B4E1FE" w14:textId="77777777" w:rsidR="00A32788" w:rsidRDefault="00000000">
      <w:pPr>
        <w:numPr>
          <w:ilvl w:val="0"/>
          <w:numId w:val="3"/>
        </w:numPr>
        <w:pBdr>
          <w:top w:val="nil"/>
          <w:left w:val="nil"/>
          <w:bottom w:val="nil"/>
          <w:right w:val="nil"/>
          <w:between w:val="nil"/>
        </w:pBdr>
        <w:spacing w:after="55"/>
      </w:pPr>
      <w:r>
        <w:rPr>
          <w:b/>
          <w:bCs/>
          <w:color w:val="000000"/>
        </w:rPr>
        <w:t xml:space="preserve">The added text </w:t>
      </w:r>
      <w:r>
        <w:rPr>
          <w:color w:val="000000"/>
        </w:rPr>
        <w:t xml:space="preserve">is </w:t>
      </w:r>
      <w:hyperlink r:id="rId203" w:anchor="p24">
        <w:r w:rsidR="00A32788">
          <w:rPr>
            <w:color w:val="1155CC"/>
            <w:u w:val="single"/>
          </w:rPr>
          <w:t>JST Genesis 50:24–38</w:t>
        </w:r>
      </w:hyperlink>
      <w:r>
        <w:rPr>
          <w:color w:val="000000"/>
        </w:rPr>
        <w:t xml:space="preserve"> (reflected in </w:t>
      </w:r>
      <w:hyperlink r:id="rId204">
        <w:r w:rsidR="00A32788">
          <w:rPr>
            <w:color w:val="1155CC"/>
            <w:u w:val="single"/>
          </w:rPr>
          <w:t>2 Nephi 3</w:t>
        </w:r>
      </w:hyperlink>
      <w:r>
        <w:rPr>
          <w:color w:val="000000"/>
        </w:rPr>
        <w:t xml:space="preserve">); the warnings include </w:t>
      </w:r>
      <w:hyperlink r:id="rId205">
        <w:r w:rsidR="00A32788">
          <w:rPr>
            <w:color w:val="1155CC"/>
            <w:u w:val="single"/>
          </w:rPr>
          <w:t>Deuteronomy 4:2</w:t>
        </w:r>
      </w:hyperlink>
      <w:r>
        <w:rPr>
          <w:color w:val="000000"/>
        </w:rPr>
        <w:t xml:space="preserve">, </w:t>
      </w:r>
      <w:hyperlink r:id="rId206">
        <w:r w:rsidR="00A32788">
          <w:rPr>
            <w:color w:val="0563C1"/>
            <w:u w:val="single"/>
          </w:rPr>
          <w:t>Proverbs 30:6</w:t>
        </w:r>
      </w:hyperlink>
      <w:r>
        <w:rPr>
          <w:color w:val="000000"/>
        </w:rPr>
        <w:t xml:space="preserve">, and </w:t>
      </w:r>
      <w:hyperlink r:id="rId207">
        <w:r w:rsidR="00A32788">
          <w:rPr>
            <w:color w:val="0563C1"/>
            <w:u w:val="single"/>
          </w:rPr>
          <w:t>Revelation 22:18–19</w:t>
        </w:r>
      </w:hyperlink>
      <w:r>
        <w:t>. Each of these forbids altering scripture: Deuteronomy 4:2 — “Ye shall not add unto the word which I command you, neither shall ye diminish from it”; Proverbs 30:6 — “Add thou not unto his words, lest he reprove thee, and thou be found a liar”; and Revelation 22:18–19 — a curse on anyone who “adds unto” or “takes away from” the words of the book. Latter-day Saints answer that these warnings apply to particular books rather than to all scripture, and that God may reveal more; the narrower difficulty remains that writing oneself into Genesis as a prophesied “choice seer” is not new revelation but the editing of an existing text.</w:t>
      </w:r>
    </w:p>
    <w:p w14:paraId="714ED2F1" w14:textId="77777777" w:rsidR="00A32788" w:rsidRDefault="00000000">
      <w:pPr>
        <w:numPr>
          <w:ilvl w:val="0"/>
          <w:numId w:val="3"/>
        </w:numPr>
        <w:spacing w:after="60"/>
      </w:pPr>
      <w:r>
        <w:rPr>
          <w:b/>
          <w:bCs/>
        </w:rPr>
        <w:t xml:space="preserve">Part of a larger pattern. </w:t>
      </w:r>
      <w:r>
        <w:t>The added Genesis text is one instance of a broader one: the Church places three further volumes of scripture beside the Bible — the Book of Mormon, the Doctrine and Covenants, and the Pearl of Great Price — and treats them as equal or higher authority. Latter-day Saints answer that God can reveal more (</w:t>
      </w:r>
      <w:hyperlink r:id="rId208">
        <w:r w:rsidR="00A32788">
          <w:rPr>
            <w:color w:val="1155CC"/>
            <w:u w:val="single"/>
          </w:rPr>
          <w:t>Amos 3:7</w:t>
        </w:r>
      </w:hyperlink>
      <w:r>
        <w:t>); the difficulty is narrower — writing a ‘choice seer named Joseph’ into the text of Genesis is not fresh revelation but self-insertion into an existing book the Bible says not to alter.</w:t>
      </w:r>
    </w:p>
    <w:p w14:paraId="77FF698C" w14:textId="77777777" w:rsidR="00A32788" w:rsidRDefault="00000000">
      <w:pPr>
        <w:spacing w:before="30" w:after="30"/>
      </w:pPr>
      <w:r>
        <w:rPr>
          <w:b/>
          <w:bCs/>
          <w:color w:val="595959"/>
          <w:sz w:val="20"/>
          <w:szCs w:val="20"/>
        </w:rPr>
        <w:lastRenderedPageBreak/>
        <w:t>Counterarguments</w:t>
      </w:r>
    </w:p>
    <w:p w14:paraId="1C8125C2" w14:textId="77777777" w:rsidR="00A32788" w:rsidRDefault="00000000">
      <w:pPr>
        <w:numPr>
          <w:ilvl w:val="0"/>
          <w:numId w:val="3"/>
        </w:numPr>
        <w:pBdr>
          <w:top w:val="nil"/>
          <w:left w:val="nil"/>
          <w:bottom w:val="nil"/>
          <w:right w:val="nil"/>
          <w:between w:val="nil"/>
        </w:pBdr>
        <w:spacing w:after="70"/>
      </w:pPr>
      <w:r>
        <w:rPr>
          <w:b/>
          <w:bCs/>
          <w:color w:val="000000"/>
        </w:rPr>
        <w:t xml:space="preserve">“It restores text lost from the Bible rather than adding to it.” </w:t>
      </w:r>
      <w:r>
        <w:rPr>
          <w:color w:val="000000"/>
        </w:rPr>
        <w:t>— The conveniently “restored” text names a future seer matching Joseph Smith himself, and the same Bible repeatedly forbids adding to God’s word.</w:t>
      </w:r>
    </w:p>
    <w:p w14:paraId="21924DBC" w14:textId="77777777" w:rsidR="00A32788" w:rsidRDefault="00A32788">
      <w:pPr>
        <w:pBdr>
          <w:bottom w:val="single" w:sz="4" w:space="2" w:color="DDDDDD"/>
        </w:pBdr>
        <w:spacing w:before="60" w:after="60"/>
      </w:pPr>
    </w:p>
    <w:p w14:paraId="04BCD900" w14:textId="77777777" w:rsidR="00A32788" w:rsidRDefault="00000000">
      <w:pPr>
        <w:pStyle w:val="Heading2"/>
      </w:pPr>
      <w:r>
        <w:t>An unchanging God does not reverse himself</w:t>
      </w:r>
    </w:p>
    <w:p w14:paraId="5BDD9536" w14:textId="77777777" w:rsidR="00A32788" w:rsidRDefault="00000000">
      <w:pPr>
        <w:spacing w:before="20" w:after="90"/>
      </w:pPr>
      <w:r>
        <w:rPr>
          <w:b/>
          <w:bCs/>
          <w:color w:val="7A1F2B"/>
        </w:rPr>
        <w:t xml:space="preserve">Claim.  </w:t>
      </w:r>
      <w:r>
        <w:t>Scripture says God does not change (</w:t>
      </w:r>
      <w:hyperlink r:id="rId209">
        <w:r w:rsidR="00A32788">
          <w:rPr>
            <w:color w:val="1155CC"/>
            <w:u w:val="single"/>
          </w:rPr>
          <w:t>Malachi 3:6</w:t>
        </w:r>
      </w:hyperlink>
      <w:r>
        <w:t>), yet the Church reverses its own policies, especially under President Nelson since 2018. The November 2015 policy barring children of same-sex couples from baptism was presented as inspired and then rescinded in 2019; the term “Mormon” was promoted for decades, then in 2018 its use was called a victory for Satan.</w:t>
      </w:r>
    </w:p>
    <w:p w14:paraId="5EB22C01" w14:textId="77777777" w:rsidR="00A32788" w:rsidRDefault="00000000">
      <w:pPr>
        <w:spacing w:before="30" w:after="30"/>
      </w:pPr>
      <w:r>
        <w:rPr>
          <w:b/>
          <w:bCs/>
          <w:color w:val="2E5496"/>
          <w:sz w:val="20"/>
          <w:szCs w:val="20"/>
        </w:rPr>
        <w:t>Substantiation</w:t>
      </w:r>
    </w:p>
    <w:p w14:paraId="744F1813" w14:textId="77777777" w:rsidR="00A32788" w:rsidRDefault="00000000">
      <w:pPr>
        <w:numPr>
          <w:ilvl w:val="0"/>
          <w:numId w:val="3"/>
        </w:numPr>
        <w:pBdr>
          <w:top w:val="nil"/>
          <w:left w:val="nil"/>
          <w:bottom w:val="nil"/>
          <w:right w:val="nil"/>
          <w:between w:val="nil"/>
        </w:pBdr>
        <w:spacing w:after="55"/>
      </w:pPr>
      <w:r>
        <w:rPr>
          <w:b/>
          <w:bCs/>
          <w:color w:val="000000"/>
        </w:rPr>
        <w:t xml:space="preserve">The 2019 reversal </w:t>
      </w:r>
      <w:r>
        <w:rPr>
          <w:color w:val="000000"/>
        </w:rPr>
        <w:t xml:space="preserve">was announced by the Church. The pace of change under President Nelson has been striking: the push to drop “Mormon” and “LDS” (2018), “ministering” replacing home and visiting teaching (2018), the two-hour Sunday block (2019), a redesigned garment and hot-climate options (2018–2024), and repeated temple-ceremony revisions (2019, 2023). Several touch women directly: women and youth may now serve as witnesses to baptisms and temple sealings (2019); endowment wording concerning women was revised (2019); and Young Women classes and presidencies were restructured (2019–2020). Notably, several of these followed years of member pressure — including the “Ordain Women” movement, whose founder Kate Kelly was excommunicated in 2014, shortly before the Church began expanding women’s visible roles. </w:t>
      </w:r>
      <w:hyperlink r:id="rId210">
        <w:r w:rsidR="00A32788">
          <w:rPr>
            <w:color w:val="0563C1"/>
            <w:u w:val="single"/>
          </w:rPr>
          <w:t>Newsroom, April 2019</w:t>
        </w:r>
      </w:hyperlink>
    </w:p>
    <w:p w14:paraId="195B7875" w14:textId="77777777" w:rsidR="00A32788" w:rsidRDefault="00000000">
      <w:pPr>
        <w:numPr>
          <w:ilvl w:val="0"/>
          <w:numId w:val="3"/>
        </w:numPr>
        <w:pBdr>
          <w:top w:val="nil"/>
          <w:left w:val="nil"/>
          <w:bottom w:val="nil"/>
          <w:right w:val="nil"/>
          <w:between w:val="nil"/>
        </w:pBdr>
        <w:spacing w:after="55"/>
      </w:pPr>
      <w:r>
        <w:rPr>
          <w:b/>
          <w:bCs/>
        </w:rPr>
        <w:t xml:space="preserve">Many changes track a single goal: keeping the young. </w:t>
      </w:r>
      <w:r>
        <w:t>A striking share of recent changes point one direction — retaining youth and young adults, the group leaving fastest. The missionary age was lowered in 2012 (18 for men, 19 for women) after leaders linked delayed missions to disaffiliation; Sunday services were cut to two hours in 2019, with one-hour formats now being tested in parts of Utah; missionaries may now text and call home freely rather than twice a year; the temple garment was redesigned and lightened; and the 2022 For the Strength of Youth guide replaced bright-line rules (the fixed dating age of 16, specific dress standards) with general principles. These read less like fresh revelation than like an institution adjusting to keep a generation from leaving.</w:t>
      </w:r>
    </w:p>
    <w:p w14:paraId="6528D52D" w14:textId="77777777" w:rsidR="00A32788" w:rsidRDefault="00000000">
      <w:pPr>
        <w:spacing w:before="30" w:after="30"/>
      </w:pPr>
      <w:r>
        <w:rPr>
          <w:b/>
          <w:bCs/>
          <w:color w:val="595959"/>
          <w:sz w:val="20"/>
          <w:szCs w:val="20"/>
        </w:rPr>
        <w:t>Counterarguments</w:t>
      </w:r>
    </w:p>
    <w:p w14:paraId="6A8713C9" w14:textId="77777777" w:rsidR="00A32788" w:rsidRDefault="00000000">
      <w:pPr>
        <w:numPr>
          <w:ilvl w:val="0"/>
          <w:numId w:val="3"/>
        </w:numPr>
        <w:pBdr>
          <w:top w:val="nil"/>
          <w:left w:val="nil"/>
          <w:bottom w:val="nil"/>
          <w:right w:val="nil"/>
          <w:between w:val="nil"/>
        </w:pBdr>
        <w:spacing w:after="70"/>
      </w:pPr>
      <w:r>
        <w:rPr>
          <w:b/>
          <w:bCs/>
          <w:color w:val="000000"/>
        </w:rPr>
        <w:t xml:space="preserve">“Continuing revelation lets policy adapt while doctrine stays constant.” </w:t>
      </w:r>
      <w:r>
        <w:rPr>
          <w:color w:val="000000"/>
        </w:rPr>
        <w:t>— These are reversals, not additions: a policy framed as inspired in 2015 was undone in 2019, and a term the Church itself used for 200 years was suddenly called Satanic. If God directs each step, the reversals cannot be explained.</w:t>
      </w:r>
    </w:p>
    <w:p w14:paraId="5B0EEA33" w14:textId="77777777" w:rsidR="00A32788" w:rsidRDefault="00000000">
      <w:pPr>
        <w:numPr>
          <w:ilvl w:val="0"/>
          <w:numId w:val="3"/>
        </w:numPr>
        <w:pBdr>
          <w:top w:val="nil"/>
          <w:left w:val="nil"/>
          <w:bottom w:val="nil"/>
          <w:right w:val="nil"/>
          <w:between w:val="nil"/>
        </w:pBdr>
        <w:spacing w:after="70"/>
      </w:pPr>
      <w:r>
        <w:rPr>
          <w:b/>
          <w:bCs/>
          <w:color w:val="000000"/>
        </w:rPr>
        <w:t xml:space="preserve">“Malachi 3:6 refers to God’s character, not to administrative policy.” </w:t>
      </w:r>
      <w:r>
        <w:rPr>
          <w:color w:val="000000"/>
        </w:rPr>
        <w:t>— Fair — but the reversals here are not mere scheduling; they include who may hold the priesthood and what counts as inspired policy, which the Church framed as God’s will at the time. ‘Doctrine vs. policy’ is hard to maintain when the ‘policy’ was taught as revelation and later reversed.</w:t>
      </w:r>
    </w:p>
    <w:p w14:paraId="663B7ABF" w14:textId="77777777" w:rsidR="00A32788" w:rsidRDefault="00000000">
      <w:pPr>
        <w:numPr>
          <w:ilvl w:val="0"/>
          <w:numId w:val="3"/>
        </w:numPr>
        <w:pBdr>
          <w:top w:val="nil"/>
          <w:left w:val="nil"/>
          <w:bottom w:val="nil"/>
          <w:right w:val="nil"/>
          <w:between w:val="nil"/>
        </w:pBdr>
        <w:spacing w:after="70"/>
      </w:pPr>
      <w:r>
        <w:rPr>
          <w:b/>
          <w:bCs/>
          <w:color w:val="000000"/>
        </w:rPr>
        <w:t xml:space="preserve">“The 2015–2019 reversal shows the Church humbly correcting course under continuing revelation.” </w:t>
      </w:r>
      <w:r>
        <w:rPr>
          <w:color w:val="000000"/>
        </w:rPr>
        <w:t>— A policy announced as the mind and will of the Lord in 2015 and reversed in 2019 is not progressive revelation — it is contradiction within four years. Continuing revelation can explain additions; it cannot explain God reversing himself on who may be baptized.</w:t>
      </w:r>
    </w:p>
    <w:p w14:paraId="12E0D186" w14:textId="77777777" w:rsidR="00A32788" w:rsidRDefault="00A32788">
      <w:pPr>
        <w:pBdr>
          <w:bottom w:val="single" w:sz="4" w:space="2" w:color="DDDDDD"/>
        </w:pBdr>
        <w:spacing w:before="60" w:after="60"/>
      </w:pPr>
    </w:p>
    <w:p w14:paraId="55D2B6E1" w14:textId="77777777" w:rsidR="00A32788" w:rsidRDefault="00000000">
      <w:pPr>
        <w:pStyle w:val="Heading2"/>
      </w:pPr>
      <w:r>
        <w:t>Women once healed by the laying on of hands; now they cannot</w:t>
      </w:r>
    </w:p>
    <w:p w14:paraId="0FBEAE3B" w14:textId="77777777" w:rsidR="00A32788" w:rsidRDefault="00000000">
      <w:pPr>
        <w:spacing w:before="20" w:after="90"/>
      </w:pPr>
      <w:r>
        <w:rPr>
          <w:b/>
          <w:bCs/>
          <w:color w:val="7A1F2B"/>
        </w:rPr>
        <w:t xml:space="preserve">Claim.  </w:t>
      </w:r>
      <w:r>
        <w:t>For most of a century, Latter-day Saint women routinely gave healing blessings — anointing the sick with oil and laying on hands — a practice Joseph Smith explicitly authorized in 1842. The Church gradually restricted it and then ended it in the twentieth century, so that today only male priesthood holders may give such blessings. A practice once taught and sanctioned was quietly removed.</w:t>
      </w:r>
    </w:p>
    <w:p w14:paraId="212ED4C4" w14:textId="77777777" w:rsidR="00A32788" w:rsidRDefault="00000000">
      <w:pPr>
        <w:spacing w:before="30" w:after="30"/>
      </w:pPr>
      <w:r>
        <w:rPr>
          <w:b/>
          <w:bCs/>
          <w:color w:val="2E5496"/>
          <w:sz w:val="20"/>
          <w:szCs w:val="20"/>
        </w:rPr>
        <w:lastRenderedPageBreak/>
        <w:t>Substantiation</w:t>
      </w:r>
    </w:p>
    <w:p w14:paraId="1CA53A0C" w14:textId="77777777" w:rsidR="00A32788" w:rsidRDefault="00000000">
      <w:pPr>
        <w:numPr>
          <w:ilvl w:val="0"/>
          <w:numId w:val="3"/>
        </w:numPr>
        <w:pBdr>
          <w:top w:val="nil"/>
          <w:left w:val="nil"/>
          <w:bottom w:val="nil"/>
          <w:right w:val="nil"/>
          <w:between w:val="nil"/>
        </w:pBdr>
        <w:spacing w:after="55"/>
      </w:pPr>
      <w:r>
        <w:rPr>
          <w:b/>
          <w:bCs/>
          <w:color w:val="000000"/>
        </w:rPr>
        <w:t xml:space="preserve">Joseph authorized it. </w:t>
      </w:r>
      <w:r>
        <w:rPr>
          <w:color w:val="000000"/>
        </w:rPr>
        <w:t xml:space="preserve">In his address to the Nauvoo Relief Society on 28 April 1842, Joseph Smith gave “instruction respecting the propriety of females administering to the sick … by the laying on of hands” and “said it was according to revelation.” For decades afterward women (including Relief Society leaders) regularly performed healing blessings, and by the late 1870s had formalized a washing-and-anointing rite, especially for childbirth. </w:t>
      </w:r>
      <w:hyperlink r:id="rId211">
        <w:r w:rsidR="00A32788">
          <w:rPr>
            <w:color w:val="0563C1"/>
            <w:u w:val="single"/>
          </w:rPr>
          <w:t>Nauvoo Relief Society Minute Book, 28 Apr. 1842</w:t>
        </w:r>
      </w:hyperlink>
    </w:p>
    <w:p w14:paraId="09B0A5D8" w14:textId="77777777" w:rsidR="00A32788" w:rsidRDefault="00000000">
      <w:pPr>
        <w:numPr>
          <w:ilvl w:val="0"/>
          <w:numId w:val="3"/>
        </w:numPr>
        <w:pBdr>
          <w:top w:val="nil"/>
          <w:left w:val="nil"/>
          <w:bottom w:val="nil"/>
          <w:right w:val="nil"/>
          <w:between w:val="nil"/>
        </w:pBdr>
        <w:spacing w:after="55"/>
      </w:pPr>
      <w:r>
        <w:rPr>
          <w:b/>
          <w:bCs/>
          <w:color w:val="000000"/>
        </w:rPr>
        <w:t xml:space="preserve">Then it was ended (outside support). </w:t>
      </w:r>
      <w:r>
        <w:rPr>
          <w:color w:val="000000"/>
        </w:rPr>
        <w:t xml:space="preserve">Historians Jonathan Stapley and Kristine Wright document the practice and its disappearance in “Female Ritual Healing in Mormonism” (Journal of Mormon History, 2011): as the hierarchy centralized and formalized ritual authority, female administration of healing was curtailed and finally discontinued. </w:t>
      </w:r>
      <w:hyperlink r:id="rId212">
        <w:r w:rsidR="00A32788">
          <w:rPr>
            <w:color w:val="0563C1"/>
            <w:u w:val="single"/>
          </w:rPr>
          <w:t>Female Ritual Healing in Mormonism (JMH, 2011)</w:t>
        </w:r>
      </w:hyperlink>
    </w:p>
    <w:p w14:paraId="58D70DE2" w14:textId="77777777" w:rsidR="00A32788" w:rsidRDefault="00000000">
      <w:pPr>
        <w:spacing w:before="30" w:after="30"/>
      </w:pPr>
      <w:r>
        <w:rPr>
          <w:b/>
          <w:bCs/>
          <w:color w:val="595959"/>
          <w:sz w:val="20"/>
          <w:szCs w:val="20"/>
        </w:rPr>
        <w:t>Counterarguments</w:t>
      </w:r>
    </w:p>
    <w:p w14:paraId="4D3C7CB4" w14:textId="77777777" w:rsidR="00A32788" w:rsidRDefault="00000000">
      <w:pPr>
        <w:numPr>
          <w:ilvl w:val="0"/>
          <w:numId w:val="3"/>
        </w:numPr>
        <w:pBdr>
          <w:top w:val="nil"/>
          <w:left w:val="nil"/>
          <w:bottom w:val="nil"/>
          <w:right w:val="nil"/>
          <w:between w:val="nil"/>
        </w:pBdr>
        <w:spacing w:after="70"/>
      </w:pPr>
      <w:r>
        <w:rPr>
          <w:b/>
          <w:bCs/>
          <w:color w:val="000000"/>
        </w:rPr>
        <w:t xml:space="preserve">“Those were blessings of faith, not priesthood ordinances, so nothing was really taken away.” </w:t>
      </w:r>
      <w:r>
        <w:rPr>
          <w:color w:val="000000"/>
        </w:rPr>
        <w:t xml:space="preserve">— Whether one labels it faith or priesthood, women once performed a sanctioned healing rite that they are now </w:t>
      </w:r>
      <w:r>
        <w:rPr>
          <w:b/>
          <w:bCs/>
          <w:color w:val="000000"/>
          <w:u w:val="single"/>
        </w:rPr>
        <w:t>forbidden</w:t>
      </w:r>
      <w:r>
        <w:rPr>
          <w:color w:val="000000"/>
        </w:rPr>
        <w:t xml:space="preserve"> to perform. That is a real change in practice — a once-authorized ordinance quietly redefined out of existence, now largely forgotten by members.</w:t>
      </w:r>
    </w:p>
    <w:p w14:paraId="2488EAEC" w14:textId="77777777" w:rsidR="00A32788" w:rsidRDefault="00A32788">
      <w:pPr>
        <w:pBdr>
          <w:bottom w:val="single" w:sz="4" w:space="2" w:color="DDDDDD"/>
        </w:pBdr>
        <w:spacing w:before="60" w:after="60"/>
      </w:pPr>
    </w:p>
    <w:p w14:paraId="33A917EF" w14:textId="77777777" w:rsidR="00A32788" w:rsidRDefault="00000000">
      <w:r>
        <w:br w:type="page"/>
      </w:r>
    </w:p>
    <w:p w14:paraId="7907E823" w14:textId="77777777" w:rsidR="00A32788" w:rsidRDefault="00000000">
      <w:pPr>
        <w:pStyle w:val="Heading1"/>
      </w:pPr>
      <w:r>
        <w:lastRenderedPageBreak/>
        <w:t>9. The modern Church shows no prophetic power</w:t>
      </w:r>
    </w:p>
    <w:p w14:paraId="3F618F62" w14:textId="77777777" w:rsidR="00A32788" w:rsidRDefault="00000000">
      <w:pPr>
        <w:pStyle w:val="Heading2"/>
      </w:pPr>
      <w:r>
        <w:t>COVID-19 guidance simply followed public-health authorities</w:t>
      </w:r>
    </w:p>
    <w:p w14:paraId="1CC6886E" w14:textId="77777777" w:rsidR="00A32788" w:rsidRDefault="00000000">
      <w:pPr>
        <w:spacing w:before="20" w:after="90"/>
      </w:pPr>
      <w:r>
        <w:rPr>
          <w:b/>
          <w:bCs/>
          <w:color w:val="7A1F2B"/>
        </w:rPr>
        <w:t xml:space="preserve">Claim.  </w:t>
      </w:r>
      <w:r>
        <w:t>During the pandemic the First Presidency urged vaccination and masking — guidance that tracked mainstream public-health authorities, showing no independent prophetic foresight. (This is a claim about foresight only, not about whether the measures worked, which is a separate, contested question.)</w:t>
      </w:r>
    </w:p>
    <w:p w14:paraId="076CB809" w14:textId="77777777" w:rsidR="00A32788" w:rsidRDefault="00000000">
      <w:pPr>
        <w:spacing w:before="30" w:after="30"/>
      </w:pPr>
      <w:r>
        <w:rPr>
          <w:b/>
          <w:bCs/>
          <w:color w:val="2E5496"/>
          <w:sz w:val="20"/>
          <w:szCs w:val="20"/>
        </w:rPr>
        <w:t>Substantiation</w:t>
      </w:r>
    </w:p>
    <w:p w14:paraId="70DCDD1A" w14:textId="77777777" w:rsidR="00A32788" w:rsidRDefault="00000000">
      <w:pPr>
        <w:numPr>
          <w:ilvl w:val="0"/>
          <w:numId w:val="3"/>
        </w:numPr>
        <w:pBdr>
          <w:top w:val="nil"/>
          <w:left w:val="nil"/>
          <w:bottom w:val="nil"/>
          <w:right w:val="nil"/>
          <w:between w:val="nil"/>
        </w:pBdr>
        <w:spacing w:after="55"/>
      </w:pPr>
      <w:r>
        <w:rPr>
          <w:b/>
          <w:bCs/>
          <w:color w:val="000000"/>
        </w:rPr>
        <w:t xml:space="preserve">The First Presidency statement </w:t>
      </w:r>
      <w:r>
        <w:rPr>
          <w:color w:val="000000"/>
        </w:rPr>
        <w:t xml:space="preserve">of August 2021 matched the prevailing public-health advice of the time. </w:t>
      </w:r>
      <w:hyperlink r:id="rId213">
        <w:r w:rsidR="00A32788">
          <w:rPr>
            <w:color w:val="0563C1"/>
            <w:u w:val="single"/>
          </w:rPr>
          <w:t>Newsroom</w:t>
        </w:r>
      </w:hyperlink>
    </w:p>
    <w:p w14:paraId="641B123F" w14:textId="77777777" w:rsidR="00A32788" w:rsidRDefault="00000000">
      <w:pPr>
        <w:spacing w:before="30" w:after="30"/>
      </w:pPr>
      <w:r>
        <w:rPr>
          <w:b/>
          <w:bCs/>
          <w:color w:val="595959"/>
          <w:sz w:val="20"/>
          <w:szCs w:val="20"/>
        </w:rPr>
        <w:t>Counterarguments</w:t>
      </w:r>
    </w:p>
    <w:p w14:paraId="7D97F8FD" w14:textId="77777777" w:rsidR="00A32788" w:rsidRDefault="00000000">
      <w:pPr>
        <w:numPr>
          <w:ilvl w:val="0"/>
          <w:numId w:val="3"/>
        </w:numPr>
        <w:pBdr>
          <w:top w:val="nil"/>
          <w:left w:val="nil"/>
          <w:bottom w:val="nil"/>
          <w:right w:val="nil"/>
          <w:between w:val="nil"/>
        </w:pBdr>
        <w:spacing w:after="70"/>
      </w:pPr>
      <w:r>
        <w:rPr>
          <w:b/>
          <w:bCs/>
          <w:color w:val="000000"/>
        </w:rPr>
        <w:t xml:space="preserve">“Prophets are also citizens following wise counsel.” </w:t>
      </w:r>
      <w:r>
        <w:rPr>
          <w:color w:val="000000"/>
        </w:rPr>
        <w:t>— That is the point: the guidance reflected the consensus of the day, not distinctive prophetic insight or warning.</w:t>
      </w:r>
    </w:p>
    <w:p w14:paraId="4A37F6A6" w14:textId="77777777" w:rsidR="00A32788" w:rsidRDefault="00000000">
      <w:pPr>
        <w:numPr>
          <w:ilvl w:val="0"/>
          <w:numId w:val="3"/>
        </w:numPr>
        <w:pBdr>
          <w:top w:val="nil"/>
          <w:left w:val="nil"/>
          <w:bottom w:val="nil"/>
          <w:right w:val="nil"/>
          <w:between w:val="nil"/>
        </w:pBdr>
        <w:spacing w:after="70"/>
      </w:pPr>
      <w:r>
        <w:rPr>
          <w:b/>
          <w:bCs/>
          <w:color w:val="000000"/>
        </w:rPr>
        <w:t xml:space="preserve">“Prophets are only meant to lead in spiritual matters, not temporal ones like health.” </w:t>
      </w:r>
      <w:r>
        <w:rPr>
          <w:color w:val="000000"/>
        </w:rPr>
        <w:t>— The Church doesn’t actually hold to that line: it issues temporal counsel as revelation — the Word of Wisdom (</w:t>
      </w:r>
      <w:hyperlink r:id="rId214">
        <w:r w:rsidR="00A32788">
          <w:rPr>
            <w:color w:val="1155CC"/>
            <w:u w:val="single"/>
          </w:rPr>
          <w:t>D&amp;C 89</w:t>
        </w:r>
      </w:hyperlink>
      <w:r>
        <w:rPr>
          <w:color w:val="000000"/>
        </w:rPr>
        <w:t xml:space="preserve">) is a health code, and the Bible has prophets giving physical, temporal direction (Moses’s bronze serpent for healing, </w:t>
      </w:r>
      <w:hyperlink r:id="rId215">
        <w:r w:rsidR="00A32788">
          <w:rPr>
            <w:color w:val="1155CC"/>
            <w:u w:val="single"/>
          </w:rPr>
          <w:t>Numbers 21:8–9</w:t>
        </w:r>
      </w:hyperlink>
      <w:r>
        <w:rPr>
          <w:color w:val="000000"/>
        </w:rPr>
        <w:t xml:space="preserve">). The “only spiritual” defense is invoked selectively, precisely when prophetic guidance turns out to add nothing beyond the public consensus or </w:t>
      </w:r>
      <w:r>
        <w:t>when their guidance proves wrong</w:t>
      </w:r>
      <w:r>
        <w:rPr>
          <w:color w:val="000000"/>
        </w:rPr>
        <w:t>.</w:t>
      </w:r>
    </w:p>
    <w:p w14:paraId="5FFE1824" w14:textId="77777777" w:rsidR="00A32788" w:rsidRDefault="00000000">
      <w:pPr>
        <w:numPr>
          <w:ilvl w:val="0"/>
          <w:numId w:val="3"/>
        </w:numPr>
        <w:pBdr>
          <w:top w:val="nil"/>
          <w:left w:val="nil"/>
          <w:bottom w:val="nil"/>
          <w:right w:val="nil"/>
          <w:between w:val="nil"/>
        </w:pBdr>
        <w:spacing w:after="70"/>
      </w:pPr>
      <w:r>
        <w:rPr>
          <w:b/>
          <w:bCs/>
          <w:color w:val="000000"/>
        </w:rPr>
        <w:t xml:space="preserve">“Following sound medical advice is itself wise prophetic stewardship.” </w:t>
      </w:r>
      <w:r>
        <w:rPr>
          <w:color w:val="000000"/>
        </w:rPr>
        <w:t>— That concedes the point: it was general advice available to everyone, not revelation. The claim under examination is prophetic foresight — and there was none beyond the public consensus.</w:t>
      </w:r>
    </w:p>
    <w:p w14:paraId="31F1151D" w14:textId="77777777" w:rsidR="00A32788" w:rsidRDefault="00A32788">
      <w:pPr>
        <w:pBdr>
          <w:bottom w:val="single" w:sz="4" w:space="2" w:color="DDDDDD"/>
        </w:pBdr>
        <w:spacing w:before="60" w:after="60"/>
      </w:pPr>
    </w:p>
    <w:p w14:paraId="08C3D2EE" w14:textId="77777777" w:rsidR="00A32788" w:rsidRDefault="00000000">
      <w:pPr>
        <w:pStyle w:val="Heading2"/>
      </w:pPr>
      <w:r>
        <w:t>The “unpaid clergy” image is misleading</w:t>
      </w:r>
    </w:p>
    <w:p w14:paraId="5B7F9C52" w14:textId="77777777" w:rsidR="00A32788" w:rsidRDefault="00000000">
      <w:pPr>
        <w:spacing w:before="20" w:after="90"/>
      </w:pPr>
      <w:r>
        <w:rPr>
          <w:b/>
          <w:bCs/>
          <w:color w:val="7A1F2B"/>
        </w:rPr>
        <w:t xml:space="preserve">Claim.  </w:t>
      </w:r>
      <w:r>
        <w:t>The Church promotes the image of a wholly unpaid clergy. That is true locally, but full-time General Authorities receive a living allowance — a leaked 2014 document set the base at $120,000, plus housing and other benefits — which was not disclosed to members until it leaked in 2017.</w:t>
      </w:r>
    </w:p>
    <w:p w14:paraId="499CE7E8" w14:textId="77777777" w:rsidR="00A32788" w:rsidRDefault="00000000">
      <w:pPr>
        <w:spacing w:before="30" w:after="30"/>
      </w:pPr>
      <w:r>
        <w:rPr>
          <w:b/>
          <w:bCs/>
          <w:color w:val="2E5496"/>
          <w:sz w:val="20"/>
          <w:szCs w:val="20"/>
        </w:rPr>
        <w:t>Substantiation</w:t>
      </w:r>
    </w:p>
    <w:p w14:paraId="23797B43" w14:textId="77777777" w:rsidR="00A32788" w:rsidRDefault="00000000">
      <w:pPr>
        <w:numPr>
          <w:ilvl w:val="0"/>
          <w:numId w:val="3"/>
        </w:numPr>
        <w:pBdr>
          <w:top w:val="nil"/>
          <w:left w:val="nil"/>
          <w:bottom w:val="nil"/>
          <w:right w:val="nil"/>
          <w:between w:val="nil"/>
        </w:pBdr>
        <w:spacing w:after="55"/>
      </w:pPr>
      <w:r>
        <w:rPr>
          <w:b/>
          <w:bCs/>
          <w:color w:val="000000"/>
        </w:rPr>
        <w:t xml:space="preserve">Reported </w:t>
      </w:r>
      <w:r>
        <w:rPr>
          <w:color w:val="000000"/>
        </w:rPr>
        <w:t xml:space="preserve">by the Church-owned Deseret News; the Church confirmed a living allowance, said to come from investment returns. </w:t>
      </w:r>
      <w:hyperlink r:id="rId216">
        <w:r w:rsidR="00A32788">
          <w:rPr>
            <w:color w:val="0563C1"/>
            <w:u w:val="single"/>
          </w:rPr>
          <w:t>Deseret News, 2017</w:t>
        </w:r>
      </w:hyperlink>
    </w:p>
    <w:p w14:paraId="067A73DD" w14:textId="77777777" w:rsidR="00A32788" w:rsidRDefault="00000000">
      <w:pPr>
        <w:numPr>
          <w:ilvl w:val="0"/>
          <w:numId w:val="3"/>
        </w:numPr>
        <w:pBdr>
          <w:top w:val="nil"/>
          <w:left w:val="nil"/>
          <w:bottom w:val="nil"/>
          <w:right w:val="nil"/>
          <w:between w:val="nil"/>
        </w:pBdr>
        <w:spacing w:after="55"/>
      </w:pPr>
      <w:r>
        <w:rPr>
          <w:b/>
          <w:bCs/>
          <w:color w:val="000000"/>
        </w:rPr>
        <w:t xml:space="preserve">A rough total. </w:t>
      </w:r>
      <w:r>
        <w:rPr>
          <w:color w:val="000000"/>
        </w:rPr>
        <w:t>Beyond the ~$120,000 base living allowance, leaked documents and former employees describe added benefits — housing or a housing allowance, full medical coverage, and other support — so a senior leader’s effective yearly compensation could reasonably exceed $150,000–$200,000. The Church has never published exact figures.</w:t>
      </w:r>
    </w:p>
    <w:p w14:paraId="22BB9371" w14:textId="77777777" w:rsidR="00A32788" w:rsidRDefault="00000000">
      <w:pPr>
        <w:spacing w:before="30" w:after="30"/>
      </w:pPr>
      <w:r>
        <w:rPr>
          <w:b/>
          <w:bCs/>
          <w:color w:val="595959"/>
          <w:sz w:val="20"/>
          <w:szCs w:val="20"/>
        </w:rPr>
        <w:t>Counterarguments</w:t>
      </w:r>
    </w:p>
    <w:p w14:paraId="11142BB2" w14:textId="77777777" w:rsidR="00A32788" w:rsidRDefault="00000000">
      <w:pPr>
        <w:numPr>
          <w:ilvl w:val="0"/>
          <w:numId w:val="3"/>
        </w:numPr>
        <w:pBdr>
          <w:top w:val="nil"/>
          <w:left w:val="nil"/>
          <w:bottom w:val="nil"/>
          <w:right w:val="nil"/>
          <w:between w:val="nil"/>
        </w:pBdr>
        <w:spacing w:after="70"/>
      </w:pPr>
      <w:r>
        <w:rPr>
          <w:b/>
          <w:bCs/>
          <w:color w:val="000000"/>
        </w:rPr>
        <w:t xml:space="preserve">“General Authorities leave their careers for a modest allowance, which scripture permits.” </w:t>
      </w:r>
      <w:r>
        <w:rPr>
          <w:color w:val="000000"/>
        </w:rPr>
        <w:t>— The figure exceeds a modest living for most members, the “no paid clergy” impression is incomplete, and it was concealed until a leak forced disclosure.</w:t>
      </w:r>
    </w:p>
    <w:p w14:paraId="4DDD16BE" w14:textId="77777777" w:rsidR="00A32788" w:rsidRDefault="00000000">
      <w:pPr>
        <w:numPr>
          <w:ilvl w:val="0"/>
          <w:numId w:val="3"/>
        </w:numPr>
        <w:pBdr>
          <w:top w:val="nil"/>
          <w:left w:val="nil"/>
          <w:bottom w:val="nil"/>
          <w:right w:val="nil"/>
          <w:between w:val="nil"/>
        </w:pBdr>
        <w:spacing w:after="70"/>
      </w:pPr>
      <w:r>
        <w:rPr>
          <w:b/>
          <w:bCs/>
          <w:color w:val="000000"/>
        </w:rPr>
        <w:t xml:space="preserve">“The allowance comes from investment returns, not tithing, and supports those who left careers to serve.” </w:t>
      </w:r>
      <w:r>
        <w:rPr>
          <w:color w:val="000000"/>
        </w:rPr>
        <w:t>— Those investment funds were themselves built from tithing, so the distinction is thin — it is still members’ donations, one step removed. And the source does not change the core point: the top leadership is paid, and the amount stayed hidden from members until it leaked, which sits awkwardly with the carefully cultivated image of a wholly unpaid ministry.</w:t>
      </w:r>
    </w:p>
    <w:p w14:paraId="35BE5103" w14:textId="77777777" w:rsidR="00A32788" w:rsidRDefault="00000000">
      <w:pPr>
        <w:numPr>
          <w:ilvl w:val="0"/>
          <w:numId w:val="3"/>
        </w:numPr>
        <w:spacing w:after="80"/>
      </w:pPr>
      <w:r>
        <w:rPr>
          <w:b/>
          <w:bCs/>
        </w:rPr>
        <w:t xml:space="preserve">“But local clergy really are unpaid, so the image was never a lie.” </w:t>
      </w:r>
      <w:r>
        <w:t xml:space="preserve">— Local lay service is real — but the impression the Church fostered went further, and that is the problem. For decades members were left to believe in a wholly unpaid ministry, top to bottom, while full-time General Authorities drew a living allowance that was never disclosed until it leaked in 2017. Cultivating a belief the leadership knew to be </w:t>
      </w:r>
      <w:r>
        <w:lastRenderedPageBreak/>
        <w:t>incomplete, and keeping the figure hidden until forced into the open, is hard to reconcile with a church that requires its own members to be “honest in all their dealings” to enter its temples.</w:t>
      </w:r>
    </w:p>
    <w:p w14:paraId="6136BFB2" w14:textId="77777777" w:rsidR="00A32788" w:rsidRDefault="00000000">
      <w:r>
        <w:br w:type="page"/>
      </w:r>
    </w:p>
    <w:p w14:paraId="0C65072E" w14:textId="77777777" w:rsidR="00A32788" w:rsidRDefault="00000000">
      <w:pPr>
        <w:pStyle w:val="Heading1"/>
      </w:pPr>
      <w:r>
        <w:lastRenderedPageBreak/>
        <w:t>10. The methods used to keep these questions unasked</w:t>
      </w:r>
    </w:p>
    <w:p w14:paraId="1AD11853" w14:textId="77777777" w:rsidR="00A32788" w:rsidRDefault="00000000">
      <w:pPr>
        <w:pStyle w:val="Heading2"/>
      </w:pPr>
      <w:r>
        <w:t>A worthiness system like the one Jesus condemned</w:t>
      </w:r>
    </w:p>
    <w:p w14:paraId="629EECDC" w14:textId="77777777" w:rsidR="00A32788" w:rsidRDefault="00000000">
      <w:pPr>
        <w:spacing w:before="20" w:after="90"/>
      </w:pPr>
      <w:r>
        <w:rPr>
          <w:b/>
          <w:bCs/>
          <w:color w:val="7A1F2B"/>
        </w:rPr>
        <w:t xml:space="preserve">Claim.  </w:t>
      </w:r>
      <w:r>
        <w:t>The Church gates access to its highest blessings behind a worthiness system — a temple-recommend interview and a checklist of rules that determine who is “worthy” to enter the temple. This is the same rule-based, performance-measured righteousness that Jesus condemned in the Pharisees.</w:t>
      </w:r>
    </w:p>
    <w:p w14:paraId="05F1A36B" w14:textId="77777777" w:rsidR="00A32788" w:rsidRDefault="00000000">
      <w:pPr>
        <w:spacing w:before="30" w:after="30"/>
      </w:pPr>
      <w:r>
        <w:rPr>
          <w:b/>
          <w:bCs/>
          <w:color w:val="2E5496"/>
          <w:sz w:val="20"/>
          <w:szCs w:val="20"/>
        </w:rPr>
        <w:t>Substantiation</w:t>
      </w:r>
    </w:p>
    <w:p w14:paraId="2216FE23" w14:textId="77777777" w:rsidR="00A32788" w:rsidRDefault="00000000">
      <w:pPr>
        <w:numPr>
          <w:ilvl w:val="0"/>
          <w:numId w:val="3"/>
        </w:numPr>
        <w:pBdr>
          <w:top w:val="nil"/>
          <w:left w:val="nil"/>
          <w:bottom w:val="nil"/>
          <w:right w:val="nil"/>
          <w:between w:val="nil"/>
        </w:pBdr>
        <w:spacing w:after="55"/>
      </w:pPr>
      <w:r>
        <w:rPr>
          <w:b/>
          <w:bCs/>
          <w:color w:val="000000"/>
        </w:rPr>
        <w:t xml:space="preserve">What Jesus condemned. </w:t>
      </w:r>
      <w:r>
        <w:rPr>
          <w:color w:val="000000"/>
        </w:rPr>
        <w:t>He rebuked the Pharisees for binding “heavy burdens” on others, for outward observance over inward righteousness, and for shutting people out of the kingdom (</w:t>
      </w:r>
      <w:hyperlink r:id="rId217">
        <w:r w:rsidR="00A32788">
          <w:rPr>
            <w:color w:val="1155CC"/>
            <w:u w:val="single"/>
          </w:rPr>
          <w:t>Matthew 23:4, 13</w:t>
        </w:r>
      </w:hyperlink>
      <w:r>
        <w:rPr>
          <w:color w:val="000000"/>
        </w:rPr>
        <w:t xml:space="preserve">; </w:t>
      </w:r>
      <w:hyperlink r:id="rId218">
        <w:r w:rsidR="00A32788">
          <w:rPr>
            <w:color w:val="1155CC"/>
            <w:u w:val="single"/>
          </w:rPr>
          <w:t>Mark 7:6–9</w:t>
        </w:r>
      </w:hyperlink>
      <w:r>
        <w:rPr>
          <w:color w:val="000000"/>
        </w:rPr>
        <w:t>).</w:t>
      </w:r>
    </w:p>
    <w:p w14:paraId="67205C61" w14:textId="77777777" w:rsidR="00A32788" w:rsidRDefault="00000000">
      <w:pPr>
        <w:numPr>
          <w:ilvl w:val="0"/>
          <w:numId w:val="3"/>
        </w:numPr>
        <w:pBdr>
          <w:top w:val="nil"/>
          <w:left w:val="nil"/>
          <w:bottom w:val="nil"/>
          <w:right w:val="nil"/>
          <w:between w:val="nil"/>
        </w:pBdr>
        <w:spacing w:after="55"/>
      </w:pPr>
      <w:r>
        <w:rPr>
          <w:b/>
          <w:bCs/>
          <w:color w:val="000000"/>
        </w:rPr>
        <w:t xml:space="preserve">What the Church requires. </w:t>
      </w:r>
      <w:r>
        <w:rPr>
          <w:color w:val="000000"/>
        </w:rPr>
        <w:t>To be deemed “worthy” of the temple, a member must affirm a fixed list — tithing, the Word of Wisdom, chastity, sustaining the leaders, no affiliation with apostate groups — and failing any single item can bar entry to “God’s house” and to eternal ordinances.</w:t>
      </w:r>
    </w:p>
    <w:p w14:paraId="5F84E302" w14:textId="77777777" w:rsidR="00A32788" w:rsidRDefault="00000000">
      <w:pPr>
        <w:spacing w:before="30" w:after="30"/>
      </w:pPr>
      <w:r>
        <w:rPr>
          <w:b/>
          <w:bCs/>
          <w:color w:val="595959"/>
          <w:sz w:val="20"/>
          <w:szCs w:val="20"/>
        </w:rPr>
        <w:t>Counterarguments</w:t>
      </w:r>
    </w:p>
    <w:p w14:paraId="0805A18A" w14:textId="77777777" w:rsidR="00A32788" w:rsidRDefault="00000000">
      <w:pPr>
        <w:numPr>
          <w:ilvl w:val="0"/>
          <w:numId w:val="3"/>
        </w:numPr>
        <w:pBdr>
          <w:top w:val="nil"/>
          <w:left w:val="nil"/>
          <w:bottom w:val="nil"/>
          <w:right w:val="nil"/>
          <w:between w:val="nil"/>
        </w:pBdr>
        <w:spacing w:after="70"/>
      </w:pPr>
      <w:r>
        <w:rPr>
          <w:b/>
          <w:bCs/>
          <w:color w:val="000000"/>
        </w:rPr>
        <w:t xml:space="preserve">“The recommend questions measure faith and commitment, not arbitrary rules.” </w:t>
      </w:r>
      <w:r>
        <w:rPr>
          <w:color w:val="000000"/>
        </w:rPr>
        <w:t xml:space="preserve">— The Pharisees said the same of their rules. Jesus’ objection was precisely to making access to God depend on a checklist administered by religious authorities — which is what a recommend interview gating entry to the temple is. </w:t>
      </w:r>
      <w:hyperlink r:id="rId219">
        <w:r w:rsidR="00A32788">
          <w:rPr>
            <w:color w:val="0563C1"/>
            <w:u w:val="single"/>
          </w:rPr>
          <w:t>Mark 7</w:t>
        </w:r>
      </w:hyperlink>
    </w:p>
    <w:p w14:paraId="5B12EE7E" w14:textId="77777777" w:rsidR="00A32788" w:rsidRDefault="00000000">
      <w:pPr>
        <w:numPr>
          <w:ilvl w:val="0"/>
          <w:numId w:val="3"/>
        </w:numPr>
        <w:pBdr>
          <w:top w:val="nil"/>
          <w:left w:val="nil"/>
          <w:bottom w:val="nil"/>
          <w:right w:val="nil"/>
          <w:between w:val="nil"/>
        </w:pBdr>
        <w:spacing w:after="70"/>
      </w:pPr>
      <w:r>
        <w:rPr>
          <w:b/>
          <w:bCs/>
          <w:color w:val="000000"/>
        </w:rPr>
        <w:t xml:space="preserve">“Jesus also taught commandments and high standards; worthiness is not legalism when it flows from love.” </w:t>
      </w:r>
      <w:r>
        <w:rPr>
          <w:color w:val="000000"/>
        </w:rPr>
        <w:t xml:space="preserve">— The objection is not to having moral standards — it is to the gatekeeping structure: a pass/fail interview controlling access to the temple, to eternal ordinances, and even to attending a </w:t>
      </w:r>
      <w:r>
        <w:t xml:space="preserve">loved one’s </w:t>
      </w:r>
      <w:r>
        <w:rPr>
          <w:color w:val="000000"/>
        </w:rPr>
        <w:t xml:space="preserve">wedding. That </w:t>
      </w:r>
      <w:r>
        <w:rPr>
          <w:b/>
          <w:bCs/>
          <w:color w:val="000000"/>
        </w:rPr>
        <w:t>institutional control</w:t>
      </w:r>
      <w:r>
        <w:rPr>
          <w:color w:val="000000"/>
        </w:rPr>
        <w:t xml:space="preserve"> over access to God is exactly what Jesus condemned in the Pharisees.</w:t>
      </w:r>
    </w:p>
    <w:p w14:paraId="00543CEE" w14:textId="77777777" w:rsidR="00A32788" w:rsidRDefault="00000000">
      <w:pPr>
        <w:numPr>
          <w:ilvl w:val="0"/>
          <w:numId w:val="3"/>
        </w:numPr>
        <w:pBdr>
          <w:top w:val="nil"/>
          <w:left w:val="nil"/>
          <w:bottom w:val="nil"/>
          <w:right w:val="nil"/>
          <w:between w:val="nil"/>
        </w:pBdr>
        <w:spacing w:after="70"/>
      </w:pPr>
      <w:r>
        <w:rPr>
          <w:b/>
          <w:bCs/>
          <w:color w:val="000000"/>
        </w:rPr>
        <w:t xml:space="preserve">“There are already hundreds of commandments in scripture — why would a few more from the Church trouble Christ?” </w:t>
      </w:r>
      <w:r>
        <w:rPr>
          <w:color w:val="000000"/>
        </w:rPr>
        <w:t>— Two answers. The ‘613 commandments’ people cite are the rabbinic count of the Torah — the Old Testament law — not the New Testament; and Jesus’ whole move was to compress them, summarizing ‘all the law and the prophets’ into loving God and neighbor (</w:t>
      </w:r>
      <w:hyperlink r:id="rId220">
        <w:r w:rsidR="00A32788">
          <w:rPr>
            <w:color w:val="1155CC"/>
            <w:u w:val="single"/>
          </w:rPr>
          <w:t>Matthew 22:3</w:t>
        </w:r>
      </w:hyperlink>
      <w:hyperlink r:id="rId221">
        <w:r w:rsidR="00A32788">
          <w:rPr>
            <w:color w:val="1155CC"/>
            <w:u w:val="single"/>
          </w:rPr>
          <w:t>6</w:t>
        </w:r>
      </w:hyperlink>
      <w:hyperlink r:id="rId222">
        <w:r w:rsidR="00A32788">
          <w:rPr>
            <w:color w:val="1155CC"/>
            <w:u w:val="single"/>
          </w:rPr>
          <w:t>–40</w:t>
        </w:r>
      </w:hyperlink>
      <w:r>
        <w:rPr>
          <w:color w:val="000000"/>
        </w:rPr>
        <w:t>) while condemning the Pharisees for ‘teaching for doctrines the commandments of men’ (</w:t>
      </w:r>
      <w:hyperlink r:id="rId223">
        <w:r w:rsidR="00A32788">
          <w:rPr>
            <w:color w:val="1155CC"/>
            <w:u w:val="single"/>
          </w:rPr>
          <w:t>Mark 7:7</w:t>
        </w:r>
      </w:hyperlink>
      <w:r>
        <w:rPr>
          <w:color w:val="000000"/>
        </w:rPr>
        <w:t xml:space="preserve">). The New Testament trims external requirements rather than multiplying them. And the objection was never the number of rules — it is the gatekeeping: making access to God’s house and to saving ordinances depend on passing an interview against a checklist. </w:t>
      </w:r>
      <w:r>
        <w:t>Paul calls adding requirements as prerequisites to salvation “another gospel,” and his warning is pointed: “though we, or an angel from heaven, preach any other gospel unto you than that which we have preached unto you, let him be accursed” (</w:t>
      </w:r>
      <w:hyperlink r:id="rId224">
        <w:r w:rsidR="00A32788">
          <w:rPr>
            <w:color w:val="1155CC"/>
            <w:u w:val="single"/>
          </w:rPr>
          <w:t>Galatians 1:6–9</w:t>
        </w:r>
      </w:hyperlink>
      <w:r>
        <w:t>).</w:t>
      </w:r>
    </w:p>
    <w:p w14:paraId="3AB2322E" w14:textId="77777777" w:rsidR="00A32788" w:rsidRDefault="00A32788">
      <w:pPr>
        <w:pBdr>
          <w:bottom w:val="single" w:sz="4" w:space="2" w:color="DDDDDD"/>
        </w:pBdr>
        <w:spacing w:before="60" w:after="60"/>
      </w:pPr>
    </w:p>
    <w:p w14:paraId="613BDFA2" w14:textId="77777777" w:rsidR="00A32788" w:rsidRDefault="00000000">
      <w:pPr>
        <w:pStyle w:val="Heading2"/>
      </w:pPr>
      <w:r>
        <w:t>“Feeling” is not a reliable test of truth</w:t>
      </w:r>
    </w:p>
    <w:p w14:paraId="50FF38AB" w14:textId="77777777" w:rsidR="00A32788" w:rsidRDefault="00000000">
      <w:pPr>
        <w:spacing w:before="20" w:after="90"/>
      </w:pPr>
      <w:r>
        <w:rPr>
          <w:b/>
          <w:bCs/>
          <w:color w:val="7A1F2B"/>
        </w:rPr>
        <w:t xml:space="preserve">Claim.  </w:t>
      </w:r>
      <w:r>
        <w:t>Moroni 10:4–5 asks the reader to confirm the book’s truth by a feeling, but Jeremiah 17:9 warns the heart is “deceitful above all things.” A subjective feeling cannot establish historical fact.</w:t>
      </w:r>
    </w:p>
    <w:p w14:paraId="6A2DEAC2" w14:textId="77777777" w:rsidR="00A32788" w:rsidRDefault="00000000">
      <w:pPr>
        <w:spacing w:before="30" w:after="30"/>
      </w:pPr>
      <w:r>
        <w:rPr>
          <w:b/>
          <w:bCs/>
          <w:color w:val="2E5496"/>
          <w:sz w:val="20"/>
          <w:szCs w:val="20"/>
        </w:rPr>
        <w:t>Substantiation</w:t>
      </w:r>
    </w:p>
    <w:p w14:paraId="7E94113B" w14:textId="77777777" w:rsidR="00A32788" w:rsidRDefault="00000000">
      <w:pPr>
        <w:numPr>
          <w:ilvl w:val="0"/>
          <w:numId w:val="3"/>
        </w:numPr>
        <w:pBdr>
          <w:top w:val="nil"/>
          <w:left w:val="nil"/>
          <w:bottom w:val="nil"/>
          <w:right w:val="nil"/>
          <w:between w:val="nil"/>
        </w:pBdr>
        <w:spacing w:after="55"/>
      </w:pPr>
      <w:r>
        <w:rPr>
          <w:b/>
          <w:bCs/>
          <w:color w:val="000000"/>
        </w:rPr>
        <w:t xml:space="preserve">See </w:t>
      </w:r>
      <w:hyperlink r:id="rId225">
        <w:r w:rsidR="00A32788">
          <w:rPr>
            <w:color w:val="1155CC"/>
            <w:u w:val="single"/>
          </w:rPr>
          <w:t>Moroni 10:4–5</w:t>
        </w:r>
      </w:hyperlink>
      <w:r>
        <w:rPr>
          <w:color w:val="000000"/>
        </w:rPr>
        <w:t xml:space="preserve"> and </w:t>
      </w:r>
      <w:hyperlink r:id="rId226">
        <w:r w:rsidR="00A32788">
          <w:rPr>
            <w:color w:val="1155CC"/>
            <w:u w:val="single"/>
          </w:rPr>
          <w:t>Jeremiah 17:9</w:t>
        </w:r>
      </w:hyperlink>
      <w:r>
        <w:rPr>
          <w:color w:val="000000"/>
        </w:rPr>
        <w:t>.</w:t>
      </w:r>
    </w:p>
    <w:p w14:paraId="1165EED6" w14:textId="77777777" w:rsidR="00A32788" w:rsidRDefault="00000000">
      <w:pPr>
        <w:numPr>
          <w:ilvl w:val="0"/>
          <w:numId w:val="3"/>
        </w:numPr>
        <w:pBdr>
          <w:top w:val="nil"/>
          <w:left w:val="nil"/>
          <w:bottom w:val="nil"/>
          <w:right w:val="nil"/>
          <w:between w:val="nil"/>
        </w:pBdr>
        <w:spacing w:after="55"/>
      </w:pPr>
      <w:r>
        <w:rPr>
          <w:b/>
          <w:bCs/>
          <w:color w:val="000000"/>
        </w:rPr>
        <w:t xml:space="preserve">The same method, everywhere. </w:t>
      </w:r>
      <w:r>
        <w:rPr>
          <w:color w:val="000000"/>
        </w:rPr>
        <w:t>Adherents of other faiths report the identical inner confirmation about their own scriptures — Muslims about the Quran, evangelicals about the Bible, and others — so a warm feeling cannot distinguish a true book from a false one. It is a test that returns “true” for mutually contradictory religions.</w:t>
      </w:r>
    </w:p>
    <w:p w14:paraId="0E883886" w14:textId="77777777" w:rsidR="00A32788" w:rsidRDefault="00000000">
      <w:pPr>
        <w:spacing w:before="30" w:after="30"/>
      </w:pPr>
      <w:r>
        <w:rPr>
          <w:b/>
          <w:bCs/>
          <w:color w:val="595959"/>
          <w:sz w:val="20"/>
          <w:szCs w:val="20"/>
        </w:rPr>
        <w:t>Counterarguments</w:t>
      </w:r>
    </w:p>
    <w:p w14:paraId="1AED29AD" w14:textId="77777777" w:rsidR="00A32788" w:rsidRDefault="00000000">
      <w:pPr>
        <w:numPr>
          <w:ilvl w:val="0"/>
          <w:numId w:val="3"/>
        </w:numPr>
        <w:pBdr>
          <w:top w:val="nil"/>
          <w:left w:val="nil"/>
          <w:bottom w:val="nil"/>
          <w:right w:val="nil"/>
          <w:between w:val="nil"/>
        </w:pBdr>
        <w:spacing w:after="70"/>
      </w:pPr>
      <w:r>
        <w:rPr>
          <w:b/>
          <w:bCs/>
          <w:color w:val="000000"/>
        </w:rPr>
        <w:lastRenderedPageBreak/>
        <w:t xml:space="preserve">“It is the witness of the Holy Ghost, not mere emotion.” </w:t>
      </w:r>
      <w:r>
        <w:rPr>
          <w:color w:val="000000"/>
        </w:rPr>
        <w:t>— It remains a subjective inner confirmation — the same one sincere believers of every religion report. The risen Christ offered physical proof (his wounds to touch), not an invitation to pray about whether he had risen.</w:t>
      </w:r>
    </w:p>
    <w:p w14:paraId="17647FC8" w14:textId="77777777" w:rsidR="00A32788" w:rsidRDefault="00000000">
      <w:pPr>
        <w:numPr>
          <w:ilvl w:val="0"/>
          <w:numId w:val="3"/>
        </w:numPr>
        <w:pBdr>
          <w:top w:val="nil"/>
          <w:left w:val="nil"/>
          <w:bottom w:val="nil"/>
          <w:right w:val="nil"/>
          <w:between w:val="nil"/>
        </w:pBdr>
        <w:spacing w:after="70"/>
      </w:pPr>
      <w:r>
        <w:rPr>
          <w:b/>
          <w:bCs/>
          <w:color w:val="000000"/>
        </w:rPr>
        <w:t xml:space="preserve">“The promise is conditioned on real faith and sincere intent — a genuine spiritual way of knowing, not a mere feeling.” </w:t>
      </w:r>
      <w:r>
        <w:rPr>
          <w:color w:val="000000"/>
        </w:rPr>
        <w:t xml:space="preserve">— That makes it circular and unfalsifiable: you must already believe to qualify for the confirmation, and if none comes you are told you lacked sincerity or faith. </w:t>
      </w:r>
      <w:r>
        <w:rPr>
          <w:b/>
          <w:bCs/>
          <w:color w:val="000000"/>
          <w:u w:val="single"/>
        </w:rPr>
        <w:t>A test that can never return ‘false’ is not a test of truth.</w:t>
      </w:r>
    </w:p>
    <w:p w14:paraId="0586DC66" w14:textId="77777777" w:rsidR="00A32788" w:rsidRDefault="00000000">
      <w:pPr>
        <w:numPr>
          <w:ilvl w:val="0"/>
          <w:numId w:val="3"/>
        </w:numPr>
        <w:pBdr>
          <w:top w:val="nil"/>
          <w:left w:val="nil"/>
          <w:bottom w:val="nil"/>
          <w:right w:val="nil"/>
          <w:between w:val="nil"/>
        </w:pBdr>
        <w:spacing w:after="70"/>
      </w:pPr>
      <w:r>
        <w:rPr>
          <w:b/>
          <w:bCs/>
          <w:color w:val="000000"/>
        </w:rPr>
        <w:t xml:space="preserve">“But faith is the foundation of religion — demanding proof misses the point.” </w:t>
      </w:r>
      <w:r>
        <w:rPr>
          <w:color w:val="000000"/>
        </w:rPr>
        <w:t>— Faith in the biblical sense is trust in what you have good reason to believe; it is not a method for deciding which of many competing claims is true. Everyone “has faith” — the Muslim, the Hindu, the evangelical — and each one’s faith yields the same confident inner witness for a different, incompatible scripture. So faith cannot be the test that sorts the true religion from the false ones; it already assumes the answer. The question here is narrower and fair: can a subjective feeling establish that a specific historical claim — real golden plates, real ancient Nephites — actually happened? It cannot, however sincere the faith behind it.</w:t>
      </w:r>
    </w:p>
    <w:p w14:paraId="21C1E623" w14:textId="77777777" w:rsidR="00A32788" w:rsidRDefault="00A32788">
      <w:pPr>
        <w:pBdr>
          <w:bottom w:val="single" w:sz="4" w:space="2" w:color="DDDDDD"/>
        </w:pBdr>
        <w:spacing w:before="60" w:after="60"/>
      </w:pPr>
    </w:p>
    <w:p w14:paraId="26A67F38" w14:textId="77777777" w:rsidR="00A32788" w:rsidRDefault="00000000">
      <w:pPr>
        <w:pStyle w:val="Heading2"/>
      </w:pPr>
      <w:r>
        <w:t>The deflections used to avoid the evidence</w:t>
      </w:r>
    </w:p>
    <w:p w14:paraId="5C6B4B27" w14:textId="77777777" w:rsidR="00A32788" w:rsidRDefault="00000000">
      <w:pPr>
        <w:spacing w:before="20" w:after="90"/>
      </w:pPr>
      <w:r>
        <w:rPr>
          <w:b/>
          <w:bCs/>
          <w:color w:val="7A1F2B"/>
        </w:rPr>
        <w:t xml:space="preserve">Claim.  </w:t>
      </w:r>
      <w:r>
        <w:t>When the evidence becomes hard to answer, the Church leans on a few responses that end inquiry rather than engage it: that the answers will come in the next life, and that members should “doubt their doubts.”</w:t>
      </w:r>
    </w:p>
    <w:p w14:paraId="1B2EFFC5" w14:textId="77777777" w:rsidR="00A32788" w:rsidRDefault="00000000">
      <w:pPr>
        <w:spacing w:before="30" w:after="30"/>
      </w:pPr>
      <w:r>
        <w:rPr>
          <w:b/>
          <w:bCs/>
          <w:color w:val="2E5496"/>
          <w:sz w:val="20"/>
          <w:szCs w:val="20"/>
        </w:rPr>
        <w:t>Substantiation</w:t>
      </w:r>
    </w:p>
    <w:p w14:paraId="7516F1EB" w14:textId="77777777" w:rsidR="00A32788" w:rsidRDefault="00000000">
      <w:pPr>
        <w:numPr>
          <w:ilvl w:val="0"/>
          <w:numId w:val="3"/>
        </w:numPr>
        <w:pBdr>
          <w:top w:val="nil"/>
          <w:left w:val="nil"/>
          <w:bottom w:val="nil"/>
          <w:right w:val="nil"/>
          <w:between w:val="nil"/>
        </w:pBdr>
        <w:spacing w:after="55"/>
      </w:pPr>
      <w:r>
        <w:rPr>
          <w:b/>
          <w:bCs/>
          <w:color w:val="000000"/>
        </w:rPr>
        <w:t xml:space="preserve">Both are taught from the top. </w:t>
      </w:r>
      <w:r>
        <w:rPr>
          <w:color w:val="000000"/>
        </w:rPr>
        <w:t xml:space="preserve">In </w:t>
      </w:r>
      <w:r>
        <w:t>General Conference</w:t>
      </w:r>
      <w:r>
        <w:rPr>
          <w:color w:val="000000"/>
        </w:rPr>
        <w:t xml:space="preserve"> (October 2013), President Uchtdorf told members to “doubt your doubts before you doubt your faith,” and that when the whole truth is eventually known, today’s troubling things will be resolved to members’ satisfaction. </w:t>
      </w:r>
      <w:hyperlink r:id="rId227">
        <w:r w:rsidR="00A32788">
          <w:rPr>
            <w:color w:val="0563C1"/>
            <w:u w:val="single"/>
          </w:rPr>
          <w:t>Come, Join with Us</w:t>
        </w:r>
      </w:hyperlink>
    </w:p>
    <w:p w14:paraId="0C4BBDE9" w14:textId="77777777" w:rsidR="00A32788" w:rsidRDefault="00000000">
      <w:pPr>
        <w:spacing w:before="30" w:after="30"/>
      </w:pPr>
      <w:r>
        <w:rPr>
          <w:b/>
          <w:bCs/>
          <w:color w:val="595959"/>
          <w:sz w:val="20"/>
          <w:szCs w:val="20"/>
        </w:rPr>
        <w:t>Counterarguments</w:t>
      </w:r>
    </w:p>
    <w:p w14:paraId="50C138BC" w14:textId="77777777" w:rsidR="00A32788" w:rsidRDefault="00000000">
      <w:pPr>
        <w:numPr>
          <w:ilvl w:val="0"/>
          <w:numId w:val="3"/>
        </w:numPr>
        <w:pBdr>
          <w:top w:val="nil"/>
          <w:left w:val="nil"/>
          <w:bottom w:val="nil"/>
          <w:right w:val="nil"/>
          <w:between w:val="nil"/>
        </w:pBdr>
        <w:spacing w:after="70"/>
      </w:pPr>
      <w:r>
        <w:rPr>
          <w:b/>
          <w:bCs/>
          <w:color w:val="000000"/>
        </w:rPr>
        <w:t xml:space="preserve">“These are invitations to faith, not evasions.” </w:t>
      </w:r>
      <w:r>
        <w:rPr>
          <w:color w:val="000000"/>
        </w:rPr>
        <w:t>— Both move the burden away from the evidence. “Wait for the next life” is unfalsifiable and can excuse any problem indefinitely; “doubt your doubts” asks the member to distrust their own reasoning rather than examine the facts. Neither answers a single one of the issues in this document.</w:t>
      </w:r>
    </w:p>
    <w:p w14:paraId="1FAA5AC4" w14:textId="77777777" w:rsidR="00A32788" w:rsidRDefault="00000000">
      <w:pPr>
        <w:numPr>
          <w:ilvl w:val="0"/>
          <w:numId w:val="3"/>
        </w:numPr>
        <w:pBdr>
          <w:top w:val="nil"/>
          <w:left w:val="nil"/>
          <w:bottom w:val="nil"/>
          <w:right w:val="nil"/>
          <w:between w:val="nil"/>
        </w:pBdr>
        <w:spacing w:after="70"/>
      </w:pPr>
      <w:r>
        <w:rPr>
          <w:b/>
          <w:bCs/>
          <w:color w:val="000000"/>
        </w:rPr>
        <w:t>“Faith by definition means trusting beyond complete proof (</w:t>
      </w:r>
      <w:hyperlink r:id="rId228">
        <w:r w:rsidR="00A32788">
          <w:rPr>
            <w:b/>
            <w:bCs/>
            <w:color w:val="1155CC"/>
            <w:u w:val="single"/>
          </w:rPr>
          <w:t>Hebrews 11</w:t>
        </w:r>
      </w:hyperlink>
      <w:r>
        <w:rPr>
          <w:b/>
          <w:bCs/>
          <w:color w:val="000000"/>
        </w:rPr>
        <w:t xml:space="preserve">).” </w:t>
      </w:r>
      <w:r>
        <w:rPr>
          <w:color w:val="000000"/>
        </w:rPr>
        <w:t>— Biblical faith is trust despite incomplete evidence — not belief against evidence, and not a command to distrust your own reasoning. ‘Doubt your doubts’ inverts honest inquiry, and ‘wait for the next life’ postpones it indefinitely; neither is faith in the biblical sense.</w:t>
      </w:r>
    </w:p>
    <w:p w14:paraId="6568DC34" w14:textId="77777777" w:rsidR="00A32788" w:rsidRDefault="00000000">
      <w:pPr>
        <w:numPr>
          <w:ilvl w:val="0"/>
          <w:numId w:val="3"/>
        </w:numPr>
        <w:pBdr>
          <w:top w:val="nil"/>
          <w:left w:val="nil"/>
          <w:bottom w:val="nil"/>
          <w:right w:val="nil"/>
          <w:between w:val="nil"/>
        </w:pBdr>
        <w:spacing w:after="70"/>
      </w:pPr>
      <w:r>
        <w:rPr>
          <w:b/>
          <w:bCs/>
          <w:color w:val="000000"/>
        </w:rPr>
        <w:t xml:space="preserve">“The Church is true and perfect; it’s the imperfect people who run it who make the mistakes.” </w:t>
      </w:r>
      <w:r>
        <w:rPr>
          <w:color w:val="000000"/>
        </w:rPr>
        <w:t xml:space="preserve">— This is the most common deflection of all, and it fails on the Church’s own terms. The mistakes catalogued here are not leaders’ private failings — they are official doctrines taught over the pulpit as God’s will (the racial priesthood ban, Adam-God, blood atonement, plural marriage as required for exaltation) and later reversed. And the Church itself teaches the opposite of ‘leaders can err’: President Wilford Woodruff declared that the Lord ‘will never </w:t>
      </w:r>
      <w:r>
        <w:t>permit</w:t>
      </w:r>
      <w:r>
        <w:rPr>
          <w:color w:val="000000"/>
        </w:rPr>
        <w:t xml:space="preserve">’ the President of the Church to lead the members astray (canonized in Official Declaration 1). Either that promise is false, or prophets taught error as revelation. ‘True church, fallible men’ also makes the claim unfalsifiable — every error is charged to the man and never to the institution, so the institution can never be tested. </w:t>
      </w:r>
      <w:hyperlink r:id="rId229">
        <w:r w:rsidR="00A32788">
          <w:rPr>
            <w:color w:val="0563C1"/>
            <w:u w:val="single"/>
          </w:rPr>
          <w:t>Official Declaration 1</w:t>
        </w:r>
      </w:hyperlink>
    </w:p>
    <w:p w14:paraId="02D4B047" w14:textId="77777777" w:rsidR="00A32788" w:rsidRDefault="00000000">
      <w:r>
        <w:br w:type="page"/>
      </w:r>
    </w:p>
    <w:p w14:paraId="347B5129" w14:textId="77777777" w:rsidR="00A32788" w:rsidRDefault="00000000">
      <w:pPr>
        <w:pStyle w:val="Heading1"/>
      </w:pPr>
      <w:r>
        <w:lastRenderedPageBreak/>
        <w:t>11. A pattern of concealment and invented history</w:t>
      </w:r>
    </w:p>
    <w:p w14:paraId="79E562AB" w14:textId="77777777" w:rsidR="00A32788" w:rsidRDefault="00000000">
      <w:pPr>
        <w:spacing w:after="120"/>
      </w:pPr>
      <w:r>
        <w:t>Several points above already show the Church stating things that were not so — the public denials of polygamy its own essay now calls “carefully worded,” racial teachings later disavowed, and founding accounts revised over time. Two further cases round out the pattern: a celebrated “miracle” with no contemporary witness, and a documented, admitted concealment of the Church’s wealth.</w:t>
      </w:r>
    </w:p>
    <w:p w14:paraId="7007239E" w14:textId="77777777" w:rsidR="00A32788" w:rsidRDefault="00000000">
      <w:pPr>
        <w:pStyle w:val="Heading2"/>
      </w:pPr>
      <w:r>
        <w:t>The “transfiguration” of Brigham Young: a founding story with no contemporary witness</w:t>
      </w:r>
    </w:p>
    <w:p w14:paraId="5CEE5B02" w14:textId="77777777" w:rsidR="00A32788" w:rsidRDefault="00000000">
      <w:pPr>
        <w:spacing w:before="20" w:after="90"/>
      </w:pPr>
      <w:r>
        <w:rPr>
          <w:b/>
          <w:bCs/>
          <w:color w:val="7A1F2B"/>
        </w:rPr>
        <w:t xml:space="preserve">Claim.  </w:t>
      </w:r>
      <w:r>
        <w:t>A cherished succession story holds that on August 8, 1844, as Brigham Young addressed the grieving Saints, he was “transfigured” — taking on the voice and even the appearance of the martyred Joseph Smith — confirming him as the rightful successor. The contemporary record does not support it: not one account was written on the day, or for months afterward, and the apostles’ own diaries for that day say nothing of it.</w:t>
      </w:r>
    </w:p>
    <w:p w14:paraId="3F264A3F" w14:textId="77777777" w:rsidR="00A32788" w:rsidRDefault="00000000">
      <w:pPr>
        <w:spacing w:before="30" w:after="30"/>
      </w:pPr>
      <w:r>
        <w:rPr>
          <w:b/>
          <w:bCs/>
          <w:color w:val="2E5496"/>
          <w:sz w:val="20"/>
          <w:szCs w:val="20"/>
        </w:rPr>
        <w:t>Substantiation</w:t>
      </w:r>
    </w:p>
    <w:p w14:paraId="3AFB29A8" w14:textId="77777777" w:rsidR="00A32788" w:rsidRDefault="00000000">
      <w:pPr>
        <w:numPr>
          <w:ilvl w:val="0"/>
          <w:numId w:val="3"/>
        </w:numPr>
        <w:pBdr>
          <w:top w:val="nil"/>
          <w:left w:val="nil"/>
          <w:bottom w:val="nil"/>
          <w:right w:val="nil"/>
          <w:between w:val="nil"/>
        </w:pBdr>
        <w:spacing w:after="55"/>
      </w:pPr>
      <w:r>
        <w:rPr>
          <w:b/>
          <w:bCs/>
          <w:color w:val="000000"/>
        </w:rPr>
        <w:t xml:space="preserve">No contemporary account. </w:t>
      </w:r>
      <w:r>
        <w:rPr>
          <w:color w:val="000000"/>
        </w:rPr>
        <w:t>The apostles who kept diaries on August 8, 1844 — Brigham Young, Heber C. Kimball, Willard Richards, and Wilford Woodruff — record nothing about a transfiguration, and neither the Church-owned Times and Seasons nor the Nauvoo Neighbor mentions it. Even the 1844–1845 accounts written specifically to refute Sidney Rigdon’s rival claim are silent. Had such a marvel occurred, the silence is inexplicable.</w:t>
      </w:r>
    </w:p>
    <w:p w14:paraId="5079D28B" w14:textId="77777777" w:rsidR="00A32788" w:rsidRDefault="00000000">
      <w:pPr>
        <w:numPr>
          <w:ilvl w:val="0"/>
          <w:numId w:val="3"/>
        </w:numPr>
        <w:pBdr>
          <w:top w:val="nil"/>
          <w:left w:val="nil"/>
          <w:bottom w:val="nil"/>
          <w:right w:val="nil"/>
          <w:between w:val="nil"/>
        </w:pBdr>
        <w:spacing w:after="55"/>
      </w:pPr>
      <w:r>
        <w:rPr>
          <w:b/>
          <w:bCs/>
          <w:color w:val="000000"/>
        </w:rPr>
        <w:t xml:space="preserve">The accounts came later (outside support). </w:t>
      </w:r>
      <w:r>
        <w:rPr>
          <w:color w:val="000000"/>
        </w:rPr>
        <w:t xml:space="preserve">The BYU Studies collection (Lynne Watkins Jorgensen) gathered 129 accounts — but only a portion are firsthand claims of witnessing the change; many are secondhand or later “mantle” impressions. The earliest were written years afterward, and they differ widely: some recalled Brigham’s appearance changing, others only his voice, others merely a spiritual feeling — and they disagree on the date and even on which meeting it happened at. Brigham Young himself never claimed to be transfigured; he said only that he had felt the Holy Ghost. </w:t>
      </w:r>
      <w:hyperlink r:id="rId230">
        <w:r w:rsidR="00A32788">
          <w:rPr>
            <w:color w:val="0563C1"/>
            <w:u w:val="single"/>
          </w:rPr>
          <w:t>The Mantle of the Prophet (BYU Studies)</w:t>
        </w:r>
      </w:hyperlink>
    </w:p>
    <w:p w14:paraId="6C8F0765" w14:textId="77777777" w:rsidR="00A32788" w:rsidRDefault="00000000">
      <w:pPr>
        <w:numPr>
          <w:ilvl w:val="0"/>
          <w:numId w:val="3"/>
        </w:numPr>
        <w:pBdr>
          <w:top w:val="nil"/>
          <w:left w:val="nil"/>
          <w:bottom w:val="nil"/>
          <w:right w:val="nil"/>
          <w:between w:val="nil"/>
        </w:pBdr>
        <w:spacing w:after="55"/>
      </w:pPr>
      <w:r>
        <w:rPr>
          <w:b/>
          <w:bCs/>
          <w:color w:val="000000"/>
        </w:rPr>
        <w:t xml:space="preserve">The Church still teaches it as fact. </w:t>
      </w:r>
      <w:r>
        <w:rPr>
          <w:color w:val="000000"/>
        </w:rPr>
        <w:t xml:space="preserve">This is not merely folklore: the Church presents the transfiguration as history in its official curriculum — the Foundations of the Restoration teacher manual, Church History in the Fulness of Times, and its Church-history topics all recount it as something that happened. Teaching an event with no contemporary evidence as established fact shows the priority is the faith-promoting story, not whether it occurred. </w:t>
      </w:r>
      <w:hyperlink r:id="rId231">
        <w:r w:rsidR="00A32788">
          <w:rPr>
            <w:color w:val="0563C1"/>
            <w:u w:val="single"/>
          </w:rPr>
          <w:t>Foundations of the Restoration manual</w:t>
        </w:r>
      </w:hyperlink>
    </w:p>
    <w:p w14:paraId="461B92EB" w14:textId="77777777" w:rsidR="00A32788" w:rsidRDefault="00000000">
      <w:pPr>
        <w:numPr>
          <w:ilvl w:val="0"/>
          <w:numId w:val="3"/>
        </w:numPr>
        <w:pBdr>
          <w:top w:val="nil"/>
          <w:left w:val="nil"/>
          <w:bottom w:val="nil"/>
          <w:right w:val="nil"/>
          <w:between w:val="nil"/>
        </w:pBdr>
        <w:spacing w:after="55"/>
      </w:pPr>
      <w:r>
        <w:rPr>
          <w:b/>
          <w:bCs/>
          <w:color w:val="000000"/>
        </w:rPr>
        <w:t xml:space="preserve">Also taught in: </w:t>
      </w:r>
      <w:hyperlink r:id="rId232">
        <w:r w:rsidR="00A32788">
          <w:rPr>
            <w:color w:val="0563C1"/>
            <w:u w:val="single"/>
          </w:rPr>
          <w:t>Church History in the Fulness of Times (ch. 23)</w:t>
        </w:r>
      </w:hyperlink>
      <w:r>
        <w:rPr>
          <w:color w:val="000000"/>
        </w:rPr>
        <w:t xml:space="preserve">  ·  </w:t>
      </w:r>
      <w:hyperlink r:id="rId233">
        <w:r w:rsidR="00A32788">
          <w:rPr>
            <w:color w:val="0563C1"/>
            <w:u w:val="single"/>
          </w:rPr>
          <w:t>Church-history topic: Succession of Church Leadership</w:t>
        </w:r>
      </w:hyperlink>
    </w:p>
    <w:p w14:paraId="2AE02A7F" w14:textId="77777777" w:rsidR="00A32788" w:rsidRDefault="00000000">
      <w:pPr>
        <w:spacing w:before="30" w:after="30"/>
      </w:pPr>
      <w:r>
        <w:rPr>
          <w:b/>
          <w:bCs/>
          <w:color w:val="595959"/>
          <w:sz w:val="20"/>
          <w:szCs w:val="20"/>
        </w:rPr>
        <w:t>Counterarguments</w:t>
      </w:r>
    </w:p>
    <w:p w14:paraId="74CB1DE7" w14:textId="77777777" w:rsidR="00A32788" w:rsidRDefault="00000000">
      <w:pPr>
        <w:numPr>
          <w:ilvl w:val="0"/>
          <w:numId w:val="3"/>
        </w:numPr>
        <w:pBdr>
          <w:top w:val="nil"/>
          <w:left w:val="nil"/>
          <w:bottom w:val="nil"/>
          <w:right w:val="nil"/>
          <w:between w:val="nil"/>
        </w:pBdr>
        <w:spacing w:after="70"/>
      </w:pPr>
      <w:r>
        <w:rPr>
          <w:b/>
          <w:bCs/>
          <w:color w:val="000000"/>
        </w:rPr>
        <w:t xml:space="preserve">“Around a hundred people recorded the experience — that is powerful testimony.” </w:t>
      </w:r>
      <w:r>
        <w:rPr>
          <w:color w:val="000000"/>
        </w:rPr>
        <w:t xml:space="preserve">— The “hundred” figure is itself misleading: Jorgensen’s 129 accounts include secondhand and late “mantle” impressions, not 129 eyewitnesses to a physical transformation. </w:t>
      </w:r>
      <w:r>
        <w:t>Nothing was written on the day itself or in the weeks or months after; the earliest 1844 references — two November letters — mention only resemblance and Young holding the “mantle,” not a physical transformation, and the vivid “couldn’t tell him from Joseph” accounts come decades later, showing the story growing over time. Accounts written years or decades later do not establish a contemporaneous event; shared memory reshapes formative religious moments, and the eyewitness apostles’ own journals are silent. A story attested only long after the fact, in conflicting forms, is not evidence of a miracle.</w:t>
      </w:r>
    </w:p>
    <w:p w14:paraId="2F4729F8" w14:textId="77777777" w:rsidR="00A32788" w:rsidRDefault="00000000">
      <w:pPr>
        <w:numPr>
          <w:ilvl w:val="0"/>
          <w:numId w:val="3"/>
        </w:numPr>
        <w:pBdr>
          <w:top w:val="nil"/>
          <w:left w:val="nil"/>
          <w:bottom w:val="nil"/>
          <w:right w:val="nil"/>
          <w:between w:val="nil"/>
        </w:pBdr>
        <w:spacing w:after="70"/>
      </w:pPr>
      <w:r>
        <w:rPr>
          <w:b/>
          <w:bCs/>
          <w:color w:val="000000"/>
        </w:rPr>
        <w:t xml:space="preserve">“Each person was shown what would be most meaningful to them, so the differences are expected.” </w:t>
      </w:r>
      <w:r>
        <w:rPr>
          <w:color w:val="000000"/>
        </w:rPr>
        <w:t>— That reasoning makes the claim unfalsifiable — every discrepancy is absorbed as ‘individualized.’ And it does not touch the core problem: no one wrote anything at the time, and Brigham Young was not even sustained as Church president until December 1847, more than three years afterward.</w:t>
      </w:r>
    </w:p>
    <w:p w14:paraId="5821DD18" w14:textId="77777777" w:rsidR="00A32788" w:rsidRDefault="00A32788">
      <w:pPr>
        <w:pBdr>
          <w:bottom w:val="single" w:sz="4" w:space="2" w:color="DDDDDD"/>
        </w:pBdr>
        <w:spacing w:before="60" w:after="60"/>
      </w:pPr>
    </w:p>
    <w:p w14:paraId="262BBEEE" w14:textId="77777777" w:rsidR="00A32788" w:rsidRDefault="00000000">
      <w:pPr>
        <w:pStyle w:val="Heading2"/>
      </w:pPr>
      <w:r>
        <w:t>The Church concealed its finances — and the SEC penalized it for doing so</w:t>
      </w:r>
    </w:p>
    <w:p w14:paraId="774888CC" w14:textId="77777777" w:rsidR="00A32788" w:rsidRDefault="00000000">
      <w:pPr>
        <w:spacing w:before="20" w:after="90"/>
      </w:pPr>
      <w:r>
        <w:rPr>
          <w:b/>
          <w:bCs/>
          <w:color w:val="7A1F2B"/>
        </w:rPr>
        <w:lastRenderedPageBreak/>
        <w:t xml:space="preserve">Claim.  </w:t>
      </w:r>
      <w:r>
        <w:t>The Church cultivates an image of modest means and open-handed charity, yet it quietly built an investment reserve estimated at roughly $100 billion, hid it behind shell companies for over twenty years, and — in a documented, settled case — was penalized by the U.S. Securities and Exchange Commission for the concealment.</w:t>
      </w:r>
    </w:p>
    <w:p w14:paraId="34B5003B" w14:textId="77777777" w:rsidR="00A32788" w:rsidRDefault="00000000">
      <w:pPr>
        <w:spacing w:before="30" w:after="30"/>
      </w:pPr>
      <w:r>
        <w:rPr>
          <w:b/>
          <w:bCs/>
          <w:color w:val="2E5496"/>
          <w:sz w:val="20"/>
          <w:szCs w:val="20"/>
        </w:rPr>
        <w:t>Substantiation</w:t>
      </w:r>
    </w:p>
    <w:p w14:paraId="1ED6B6AB" w14:textId="77777777" w:rsidR="00A32788" w:rsidRDefault="00000000">
      <w:pPr>
        <w:numPr>
          <w:ilvl w:val="0"/>
          <w:numId w:val="3"/>
        </w:numPr>
        <w:pBdr>
          <w:top w:val="nil"/>
          <w:left w:val="nil"/>
          <w:bottom w:val="nil"/>
          <w:right w:val="nil"/>
          <w:between w:val="nil"/>
        </w:pBdr>
        <w:spacing w:after="55"/>
      </w:pPr>
      <w:r>
        <w:rPr>
          <w:b/>
          <w:bCs/>
          <w:color w:val="000000"/>
        </w:rPr>
        <w:t xml:space="preserve">The SEC case (primary source). </w:t>
      </w:r>
      <w:r>
        <w:rPr>
          <w:color w:val="000000"/>
        </w:rPr>
        <w:t xml:space="preserve">On February 21, 2023, the SEC charged the Church and its investment arm, Ensign Peak Advisors, for hiding the Church’s equity portfolio (about $32 billion by 2018) behind 13 shell companies from 1997 to 2019 and filing misstated reports. Ensign Peak paid a $4 million penalty and the Church $1 million; the SEC said they “went to great lengths to avoid disclosing” the investments. The Church neither admitted nor denied the findings but said it “regret[s] mistakes made.” </w:t>
      </w:r>
      <w:hyperlink r:id="rId234">
        <w:r w:rsidR="00A32788">
          <w:rPr>
            <w:color w:val="0563C1"/>
            <w:u w:val="single"/>
          </w:rPr>
          <w:t>SEC press release (2023)</w:t>
        </w:r>
      </w:hyperlink>
    </w:p>
    <w:p w14:paraId="2E2A92CB" w14:textId="77777777" w:rsidR="00A32788" w:rsidRDefault="00000000">
      <w:pPr>
        <w:numPr>
          <w:ilvl w:val="0"/>
          <w:numId w:val="3"/>
        </w:numPr>
        <w:spacing w:after="60"/>
      </w:pPr>
      <w:r>
        <w:rPr>
          <w:b/>
          <w:bCs/>
        </w:rPr>
        <w:t>The Church’s own statement:</w:t>
      </w:r>
      <w:hyperlink r:id="rId235">
        <w:r w:rsidR="00A32788">
          <w:rPr>
            <w:b/>
            <w:bCs/>
          </w:rPr>
          <w:t xml:space="preserve"> </w:t>
        </w:r>
      </w:hyperlink>
      <w:hyperlink r:id="rId236">
        <w:r w:rsidR="00A32788">
          <w:rPr>
            <w:color w:val="1155CC"/>
            <w:u w:val="single"/>
          </w:rPr>
          <w:t>Church Newsroom: “Church Issues Statement on SEC Settlement” (21 Feb. 2023)</w:t>
        </w:r>
      </w:hyperlink>
    </w:p>
    <w:p w14:paraId="324E32F7" w14:textId="77777777" w:rsidR="00A32788" w:rsidRDefault="00000000">
      <w:pPr>
        <w:numPr>
          <w:ilvl w:val="0"/>
          <w:numId w:val="3"/>
        </w:numPr>
        <w:pBdr>
          <w:top w:val="nil"/>
          <w:left w:val="nil"/>
          <w:bottom w:val="nil"/>
          <w:right w:val="nil"/>
          <w:between w:val="nil"/>
        </w:pBdr>
        <w:spacing w:after="55"/>
      </w:pPr>
      <w:r>
        <w:rPr>
          <w:b/>
          <w:bCs/>
          <w:color w:val="000000"/>
        </w:rPr>
        <w:t xml:space="preserve">The size of the reserve. </w:t>
      </w:r>
      <w:r>
        <w:rPr>
          <w:color w:val="000000"/>
        </w:rPr>
        <w:t>A 2019 whistleblower (former Ensign Peak manager David Nielsen) alleged the fund had grown to about $100 billion out of tithing set aside for charity but never spent; the Wall Street Journal reported the figure in 2020. Independent estimates (the Widow’s Mite Report) have run higher still.</w:t>
      </w:r>
    </w:p>
    <w:p w14:paraId="7D05F090" w14:textId="77777777" w:rsidR="00A32788" w:rsidRDefault="00000000">
      <w:pPr>
        <w:numPr>
          <w:ilvl w:val="0"/>
          <w:numId w:val="3"/>
        </w:numPr>
        <w:pBdr>
          <w:top w:val="nil"/>
          <w:left w:val="nil"/>
          <w:bottom w:val="nil"/>
          <w:right w:val="nil"/>
          <w:between w:val="nil"/>
        </w:pBdr>
        <w:spacing w:after="55"/>
      </w:pPr>
      <w:r>
        <w:rPr>
          <w:b/>
          <w:bCs/>
          <w:color w:val="000000"/>
        </w:rPr>
        <w:t xml:space="preserve">The charity comparison. </w:t>
      </w:r>
      <w:r>
        <w:t xml:space="preserve">Against a reserve of that size, the Church’s self-reported humanitarian spending — on the order of $1 billion a year in recent years — is modest, and the figure is hard to verify: the Church publishes no audited breakdown. Independent analysts (notably the Widow’s Mite Report) argue that totals presented as “humanitarian” or “welfare” giving fold in internal costs — members’ own fast-offering donations, the estimated value of volunteer labor, and the Church’s own welfare operations (bishops’ storehouses, Deseret Industries, and the like) — rather than outward charitable grants alone, which would make the effective outward giving a fraction of the headline number. (These accounting criticisms are contested and the Church disputes them; the SEC concealment is not contested.) </w:t>
      </w:r>
    </w:p>
    <w:p w14:paraId="67EAC569" w14:textId="77777777" w:rsidR="00A32788" w:rsidRDefault="00000000">
      <w:pPr>
        <w:spacing w:before="30" w:after="30"/>
      </w:pPr>
      <w:r>
        <w:rPr>
          <w:b/>
          <w:bCs/>
          <w:color w:val="595959"/>
          <w:sz w:val="20"/>
          <w:szCs w:val="20"/>
        </w:rPr>
        <w:t>Counterarguments</w:t>
      </w:r>
    </w:p>
    <w:p w14:paraId="34A44C26" w14:textId="77777777" w:rsidR="00A32788" w:rsidRDefault="00000000">
      <w:pPr>
        <w:numPr>
          <w:ilvl w:val="0"/>
          <w:numId w:val="3"/>
        </w:numPr>
        <w:pBdr>
          <w:top w:val="nil"/>
          <w:left w:val="nil"/>
          <w:bottom w:val="nil"/>
          <w:right w:val="nil"/>
          <w:between w:val="nil"/>
        </w:pBdr>
        <w:spacing w:after="70"/>
      </w:pPr>
      <w:r>
        <w:rPr>
          <w:b/>
          <w:bCs/>
          <w:color w:val="000000"/>
        </w:rPr>
        <w:t xml:space="preserve">“A prudent reserve is wise stewardship, and the filing issue was a technicality.” </w:t>
      </w:r>
      <w:r>
        <w:rPr>
          <w:color w:val="000000"/>
        </w:rPr>
        <w:t>— Saving is not the charge; concealment is. The Church did not merely save — it built structures specifically to keep the portfolio hidden from regulators and members for two decades, which is why a federal agency penalized it. That is hard to square with the Church’s constant calls for members to be honest in all their dealings.</w:t>
      </w:r>
    </w:p>
    <w:p w14:paraId="1E0A2313" w14:textId="77777777" w:rsidR="00A32788" w:rsidRDefault="00000000">
      <w:pPr>
        <w:numPr>
          <w:ilvl w:val="0"/>
          <w:numId w:val="3"/>
        </w:numPr>
        <w:pBdr>
          <w:top w:val="nil"/>
          <w:left w:val="nil"/>
          <w:bottom w:val="nil"/>
          <w:right w:val="nil"/>
          <w:between w:val="nil"/>
        </w:pBdr>
        <w:spacing w:after="70"/>
      </w:pPr>
      <w:r>
        <w:rPr>
          <w:b/>
          <w:bCs/>
          <w:color w:val="000000"/>
        </w:rPr>
        <w:t xml:space="preserve">“The investment fund is separate from tithing.” </w:t>
      </w:r>
      <w:r>
        <w:rPr>
          <w:color w:val="000000"/>
        </w:rPr>
        <w:t>— The reserve was built from tithing in the first place, and the whistleblower’s complaint was precisely that donations given for the Lord’s work were being stockpiled rather than used. ‘Separate fund’ does not answer where the money came from.</w:t>
      </w:r>
    </w:p>
    <w:p w14:paraId="05F05E82" w14:textId="77777777" w:rsidR="00A32788" w:rsidRDefault="00A32788">
      <w:pPr>
        <w:pBdr>
          <w:bottom w:val="single" w:sz="4" w:space="2" w:color="DDDDDD"/>
        </w:pBdr>
        <w:spacing w:before="60" w:after="60"/>
      </w:pPr>
    </w:p>
    <w:p w14:paraId="71664317" w14:textId="77777777" w:rsidR="00A32788" w:rsidRDefault="00000000">
      <w:pPr>
        <w:pStyle w:val="Heading2"/>
      </w:pPr>
      <w:r>
        <w:t>Further documented deceptions</w:t>
      </w:r>
    </w:p>
    <w:p w14:paraId="7B28CD73" w14:textId="77777777" w:rsidR="00A32788" w:rsidRDefault="00000000">
      <w:pPr>
        <w:spacing w:before="20" w:after="90"/>
      </w:pPr>
      <w:r>
        <w:rPr>
          <w:b/>
          <w:bCs/>
          <w:color w:val="7A1F2B"/>
        </w:rPr>
        <w:t xml:space="preserve">Claim.  </w:t>
      </w:r>
      <w:r>
        <w:t>The pattern is not confined to a single episode. Several other well-documented cases show the Church publicly asserting one thing while the record shows another.</w:t>
      </w:r>
    </w:p>
    <w:p w14:paraId="675EBDF8" w14:textId="77777777" w:rsidR="00A32788" w:rsidRDefault="00000000">
      <w:pPr>
        <w:spacing w:before="30" w:after="30"/>
      </w:pPr>
      <w:r>
        <w:rPr>
          <w:b/>
          <w:bCs/>
          <w:color w:val="2E5496"/>
          <w:sz w:val="20"/>
          <w:szCs w:val="20"/>
        </w:rPr>
        <w:t>Substantiation</w:t>
      </w:r>
    </w:p>
    <w:p w14:paraId="38AAC369" w14:textId="77777777" w:rsidR="00A32788" w:rsidRDefault="00000000">
      <w:pPr>
        <w:numPr>
          <w:ilvl w:val="0"/>
          <w:numId w:val="3"/>
        </w:numPr>
        <w:pBdr>
          <w:top w:val="nil"/>
          <w:left w:val="nil"/>
          <w:bottom w:val="nil"/>
          <w:right w:val="nil"/>
          <w:between w:val="nil"/>
        </w:pBdr>
        <w:spacing w:after="55"/>
      </w:pPr>
      <w:r>
        <w:rPr>
          <w:b/>
          <w:bCs/>
          <w:color w:val="000000"/>
        </w:rPr>
        <w:t xml:space="preserve">Polygamy did not actually end in 1890. </w:t>
      </w:r>
      <w:r>
        <w:rPr>
          <w:color w:val="000000"/>
        </w:rPr>
        <w:t xml:space="preserve">The Church presented the 1890 Manifesto as ending plural marriage, but new plural marriages continued — some with senior leaders’ approval — until a Second Manifesto in 1904, and President Joseph F. Smith acknowledged ongoing plural relationships under oath at the 1904 U.S. Senate (Smoot) hearings. Two apostles later resigned over continued plural marriages. The Church’s own essay documents this. </w:t>
      </w:r>
      <w:hyperlink r:id="rId237">
        <w:r w:rsidR="00A32788">
          <w:rPr>
            <w:color w:val="0563C1"/>
            <w:u w:val="single"/>
          </w:rPr>
          <w:t>The Manifesto and the End of Plural Marriage</w:t>
        </w:r>
      </w:hyperlink>
    </w:p>
    <w:p w14:paraId="0A1777B4" w14:textId="77777777" w:rsidR="00A32788" w:rsidRDefault="00000000">
      <w:pPr>
        <w:numPr>
          <w:ilvl w:val="0"/>
          <w:numId w:val="3"/>
        </w:numPr>
        <w:pBdr>
          <w:top w:val="nil"/>
          <w:left w:val="nil"/>
          <w:bottom w:val="nil"/>
          <w:right w:val="nil"/>
          <w:between w:val="nil"/>
        </w:pBdr>
        <w:spacing w:after="55"/>
      </w:pPr>
      <w:r>
        <w:rPr>
          <w:b/>
          <w:bCs/>
          <w:color w:val="000000"/>
        </w:rPr>
        <w:t xml:space="preserve">The City Creek mall and “no tithing.” </w:t>
      </w:r>
      <w:r>
        <w:rPr>
          <w:color w:val="000000"/>
        </w:rPr>
        <w:t xml:space="preserve">When the Church financed City Creek Center — a roughly $1.5 billion luxury mall in downtown Salt Lake City — it repeatedly assured members that no tithing funds </w:t>
      </w:r>
      <w:r>
        <w:rPr>
          <w:color w:val="000000"/>
        </w:rPr>
        <w:lastRenderedPageBreak/>
        <w:t>were used. In fact the money came from earnings on investment reserves that were themselves built from tithing. A prominent member, James Huntsman, sued over the framing; the courts ultimately sided with the Church on the technical ‘earnings, not tithing principal’ distinction — but many members reasonably found the assurance misleading.</w:t>
      </w:r>
    </w:p>
    <w:p w14:paraId="4157DEBA" w14:textId="77777777" w:rsidR="00A32788" w:rsidRDefault="00000000">
      <w:pPr>
        <w:numPr>
          <w:ilvl w:val="0"/>
          <w:numId w:val="3"/>
        </w:numPr>
        <w:pBdr>
          <w:top w:val="nil"/>
          <w:left w:val="nil"/>
          <w:bottom w:val="nil"/>
          <w:right w:val="nil"/>
          <w:between w:val="nil"/>
        </w:pBdr>
        <w:spacing w:after="55"/>
      </w:pPr>
      <w:r>
        <w:rPr>
          <w:b/>
          <w:bCs/>
          <w:color w:val="000000"/>
        </w:rPr>
        <w:t xml:space="preserve">The Mountain Meadows cover-up. </w:t>
      </w:r>
      <w:r>
        <w:rPr>
          <w:color w:val="000000"/>
        </w:rPr>
        <w:t xml:space="preserve">After a Latter-day Saint militia massacred about 120 California-bound emigrants in 1857, Church leaders long blamed local Native Americans and shielded those responsible; only John D. Lee was eventually prosecuted and executed. The Church’s own historians now acknowledge that local leaders planned and carried out the killings. </w:t>
      </w:r>
      <w:hyperlink r:id="rId238">
        <w:r w:rsidR="00A32788">
          <w:rPr>
            <w:color w:val="0563C1"/>
            <w:u w:val="single"/>
          </w:rPr>
          <w:t>Peace and Violence essay</w:t>
        </w:r>
      </w:hyperlink>
    </w:p>
    <w:p w14:paraId="63085119" w14:textId="77777777" w:rsidR="00A32788" w:rsidRDefault="00A32788">
      <w:pPr>
        <w:pBdr>
          <w:bottom w:val="single" w:sz="4" w:space="2" w:color="DDDDDD"/>
        </w:pBdr>
        <w:spacing w:before="60" w:after="60"/>
      </w:pPr>
    </w:p>
    <w:p w14:paraId="511C0984" w14:textId="77777777" w:rsidR="00A32788" w:rsidRDefault="00000000">
      <w:pPr>
        <w:pStyle w:val="Heading2"/>
        <w:rPr>
          <w:color w:val="000000"/>
          <w:sz w:val="34"/>
          <w:szCs w:val="34"/>
        </w:rPr>
      </w:pPr>
      <w:bookmarkStart w:id="2" w:name="_pqdpj86yb62l" w:colFirst="0" w:colLast="0"/>
      <w:bookmarkEnd w:id="2"/>
      <w:r>
        <w:t>The priesthood-restoration story was written years after the fact</w:t>
      </w:r>
    </w:p>
    <w:p w14:paraId="3BA5FA33" w14:textId="77777777" w:rsidR="00A32788" w:rsidRDefault="00000000">
      <w:pPr>
        <w:spacing w:before="20" w:after="100"/>
      </w:pPr>
      <w:r>
        <w:rPr>
          <w:b/>
          <w:bCs/>
          <w:color w:val="7A1F2B"/>
        </w:rPr>
        <w:t xml:space="preserve">Claim.  </w:t>
      </w:r>
      <w:r>
        <w:t>The Church teaches that its authority was restored by heavenly messengers — John the Baptist conferring the Aaronic priesthood (May 1829), and the apostles Peter, James, and John the Melchizedek — yet no contemporaneous record describes these events, and the specifics, including the apostles’ names, were added years afterward.</w:t>
      </w:r>
    </w:p>
    <w:p w14:paraId="697C49EC" w14:textId="77777777" w:rsidR="00A32788" w:rsidRDefault="00000000">
      <w:pPr>
        <w:spacing w:before="40" w:after="40"/>
        <w:rPr>
          <w:b/>
          <w:bCs/>
          <w:color w:val="2E5496"/>
          <w:sz w:val="20"/>
          <w:szCs w:val="20"/>
        </w:rPr>
      </w:pPr>
      <w:r>
        <w:rPr>
          <w:b/>
          <w:bCs/>
          <w:color w:val="2E5496"/>
          <w:sz w:val="20"/>
          <w:szCs w:val="20"/>
        </w:rPr>
        <w:t>Substantiation</w:t>
      </w:r>
    </w:p>
    <w:p w14:paraId="602CC2F1" w14:textId="77777777" w:rsidR="00A32788" w:rsidRDefault="00000000">
      <w:pPr>
        <w:numPr>
          <w:ilvl w:val="0"/>
          <w:numId w:val="2"/>
        </w:numPr>
        <w:ind w:left="450"/>
      </w:pPr>
      <w:r>
        <w:rPr>
          <w:rFonts w:ascii="Times New Roman" w:eastAsia="Times New Roman" w:hAnsi="Times New Roman" w:cs="Times New Roman"/>
          <w:sz w:val="14"/>
          <w:szCs w:val="14"/>
        </w:rPr>
        <w:t xml:space="preserve"> </w:t>
      </w:r>
      <w:r>
        <w:rPr>
          <w:b/>
          <w:bCs/>
        </w:rPr>
        <w:t xml:space="preserve">No 1829 record. </w:t>
      </w:r>
      <w:r>
        <w:t>The earliest narrative of the Aaronic restoration is Oliver Cowdery’s, written in 1834 — five years afterward — and the earliest published account naming Peter, James, and John is the 1835 Doctrine and Covenants. Even the terms “Aaronic Priesthood” and “Melchizedek Priesthood” were not used until 1835.</w:t>
      </w:r>
      <w:hyperlink r:id="rId239">
        <w:r w:rsidR="00A32788">
          <w:t xml:space="preserve"> </w:t>
        </w:r>
      </w:hyperlink>
      <w:hyperlink r:id="rId240">
        <w:r w:rsidR="00A32788">
          <w:rPr>
            <w:color w:val="0563C1"/>
            <w:u w:val="single"/>
          </w:rPr>
          <w:t>Opening the Heavens (BYU Studies)</w:t>
        </w:r>
      </w:hyperlink>
      <w:hyperlink r:id="rId241">
        <w:r w:rsidR="00A32788">
          <w:rPr>
            <w:color w:val="0563C1"/>
            <w:u w:val="single"/>
          </w:rPr>
          <w:t>Priesthood Restoration (Joseph Smith Papers)</w:t>
        </w:r>
      </w:hyperlink>
    </w:p>
    <w:p w14:paraId="303F7A15" w14:textId="77777777" w:rsidR="00A32788" w:rsidRDefault="00000000">
      <w:pPr>
        <w:numPr>
          <w:ilvl w:val="0"/>
          <w:numId w:val="2"/>
        </w:numPr>
        <w:spacing w:after="60"/>
        <w:ind w:left="450"/>
      </w:pPr>
      <w:r>
        <w:rPr>
          <w:rFonts w:ascii="Times New Roman" w:eastAsia="Times New Roman" w:hAnsi="Times New Roman" w:cs="Times New Roman"/>
          <w:sz w:val="14"/>
          <w:szCs w:val="14"/>
        </w:rPr>
        <w:t xml:space="preserve"> </w:t>
      </w:r>
      <w:r>
        <w:rPr>
          <w:b/>
          <w:bCs/>
        </w:rPr>
        <w:t xml:space="preserve">Inserted into an earlier revelation. </w:t>
      </w:r>
      <w:r>
        <w:t>The 1835 wording was added to a revelation dated 1830 — now Doctrine and Covenants 27 — whose original 1833 Book of Commandments version (chapter 28) contained no visitation by Peter, James, and John at all. The expanded account was then presented as though it had been part of the 1830 revelation all along.</w:t>
      </w:r>
      <w:hyperlink r:id="rId242">
        <w:r w:rsidR="00A32788">
          <w:t xml:space="preserve"> </w:t>
        </w:r>
      </w:hyperlink>
      <w:hyperlink r:id="rId243">
        <w:r w:rsidR="00A32788">
          <w:rPr>
            <w:color w:val="0563C1"/>
            <w:u w:val="single"/>
          </w:rPr>
          <w:t>Opening the Heavens (BYU Studies)</w:t>
        </w:r>
      </w:hyperlink>
      <w:hyperlink r:id="rId244">
        <w:r w:rsidR="00A32788">
          <w:rPr>
            <w:color w:val="0563C1"/>
            <w:u w:val="single"/>
          </w:rPr>
          <w:t>Priesthood Restoration Documents (BYU Studies)</w:t>
        </w:r>
      </w:hyperlink>
    </w:p>
    <w:p w14:paraId="0E3B4C00" w14:textId="77777777" w:rsidR="00A32788" w:rsidRDefault="00A32788">
      <w:pPr>
        <w:pBdr>
          <w:bottom w:val="single" w:sz="4" w:space="2" w:color="DDDDDD"/>
        </w:pBdr>
        <w:spacing w:before="60" w:after="60"/>
      </w:pPr>
    </w:p>
    <w:p w14:paraId="13DF63B6" w14:textId="77777777" w:rsidR="00A32788" w:rsidRDefault="00000000">
      <w:pPr>
        <w:pStyle w:val="Heading1"/>
      </w:pPr>
      <w:r>
        <w:t>Conclusion: the cumulative case</w:t>
      </w:r>
    </w:p>
    <w:p w14:paraId="7C00EA12" w14:textId="77777777" w:rsidR="00A32788" w:rsidRDefault="00000000">
      <w:pPr>
        <w:spacing w:after="120"/>
      </w:pPr>
      <w:r>
        <w:t>Any one of these points might be argued away in isolation, and the Church has published a response to most of them. The force of the argument is cumulative. The Book of Abraham is demonstrably not what it claims to be; the Book of Mormon bears the marks of 19th-century authorship in its language, its sources, and its theology; the founding vision was revised over time; the translation method was folk magic; the founding prophet practiced secret polygamy and issued failed prophecies; the witnesses to the golden plates gave the same kind of sworn testimony to plates now known to be forged; the Church has reversed doctrines once taught as the will of God; the modern Church shows no prophetic foresight beyond the public consensus of its day; and — most damaging of all to its claim of honesty — it has repeatedly concealed and misrepresented its own history and finances, in one case drawing a penalty from federal securities regulators.</w:t>
      </w:r>
    </w:p>
    <w:p w14:paraId="4A20B424" w14:textId="77777777" w:rsidR="00A32788" w:rsidRDefault="00000000">
      <w:pPr>
        <w:spacing w:after="120"/>
      </w:pPr>
      <w:r>
        <w:t>Each of these strikes at a claim the Church says is essential to its divine authority, and the strongest evidence for them comes from the Church’s own scriptures, essays, and historical project — corroborated, where it matters, by leading non-LDS scholars. This case is built deliberately on the strongest and best-documented points — mostly from official Latter-day Saint sources — and sets aside the weaker, sensational arguments that circulate against the Church; it does not need them. A single true prophet, a single genuine translation, a single unchanging divine doctrine would be hard to reconcile with this record. Taken together, the evidence supports a clear conclusion: the Church’s claim to be the one true church, restored and led by God, is not supported by the facts — it is contradicted by them.</w:t>
      </w:r>
    </w:p>
    <w:p w14:paraId="63ABAFCE" w14:textId="77777777" w:rsidR="00A32788" w:rsidRDefault="00A32788">
      <w:pPr>
        <w:spacing w:after="120"/>
      </w:pPr>
    </w:p>
    <w:p w14:paraId="4C844CCC" w14:textId="77777777" w:rsidR="00A32788" w:rsidRDefault="00000000">
      <w:pPr>
        <w:spacing w:after="120"/>
        <w:rPr>
          <w:b/>
          <w:bCs/>
        </w:rPr>
      </w:pPr>
      <w:r>
        <w:rPr>
          <w:b/>
          <w:bCs/>
        </w:rPr>
        <w:t>Companion documents:</w:t>
      </w:r>
    </w:p>
    <w:p w14:paraId="0A831B95" w14:textId="77777777" w:rsidR="00A32788" w:rsidRDefault="00A32788">
      <w:pPr>
        <w:numPr>
          <w:ilvl w:val="0"/>
          <w:numId w:val="1"/>
        </w:numPr>
        <w:spacing w:after="200"/>
        <w:rPr>
          <w:b/>
          <w:bCs/>
          <w:i/>
          <w:iCs/>
        </w:rPr>
      </w:pPr>
      <w:hyperlink r:id="rId245">
        <w:r>
          <w:rPr>
            <w:b/>
            <w:bCs/>
            <w:i/>
            <w:iCs/>
            <w:color w:val="1155CC"/>
            <w:u w:val="single"/>
          </w:rPr>
          <w:t>Four Computational Studies on the Origin of the Book of Mormon</w:t>
        </w:r>
      </w:hyperlink>
    </w:p>
    <w:p w14:paraId="62C5E510" w14:textId="77777777" w:rsidR="00A32788" w:rsidRDefault="00A32788">
      <w:pPr>
        <w:numPr>
          <w:ilvl w:val="0"/>
          <w:numId w:val="1"/>
        </w:numPr>
        <w:spacing w:after="200"/>
        <w:rPr>
          <w:b/>
          <w:bCs/>
          <w:i/>
          <w:iCs/>
        </w:rPr>
      </w:pPr>
      <w:hyperlink r:id="rId246">
        <w:r>
          <w:rPr>
            <w:b/>
            <w:bCs/>
            <w:i/>
            <w:iCs/>
            <w:color w:val="1155CC"/>
            <w:u w:val="single"/>
          </w:rPr>
          <w:t>A Stylometric Analysis of the Book of Mormon</w:t>
        </w:r>
      </w:hyperlink>
    </w:p>
    <w:p w14:paraId="5CF19105" w14:textId="77777777" w:rsidR="00A32788" w:rsidRDefault="00A32788">
      <w:pPr>
        <w:numPr>
          <w:ilvl w:val="0"/>
          <w:numId w:val="1"/>
        </w:numPr>
        <w:spacing w:after="200"/>
      </w:pPr>
      <w:hyperlink r:id="rId247">
        <w:r>
          <w:rPr>
            <w:b/>
            <w:bCs/>
            <w:i/>
            <w:iCs/>
            <w:color w:val="1155CC"/>
            <w:u w:val="single"/>
          </w:rPr>
          <w:t>Full Stylometric Analysis of the Book of Mormon Manuscript</w:t>
        </w:r>
      </w:hyperlink>
    </w:p>
    <w:p w14:paraId="3A555079" w14:textId="77777777" w:rsidR="00A32788" w:rsidRDefault="00A32788">
      <w:pPr>
        <w:numPr>
          <w:ilvl w:val="0"/>
          <w:numId w:val="1"/>
        </w:numPr>
        <w:spacing w:after="200"/>
      </w:pPr>
      <w:hyperlink r:id="rId248">
        <w:r>
          <w:rPr>
            <w:b/>
            <w:bCs/>
            <w:i/>
            <w:iCs/>
            <w:color w:val="1155CC"/>
            <w:u w:val="single"/>
          </w:rPr>
          <w:t>The Book of Mormon and The Late War</w:t>
        </w:r>
      </w:hyperlink>
    </w:p>
    <w:p w14:paraId="75FCFBC2" w14:textId="77777777" w:rsidR="00A32788" w:rsidRDefault="00A32788">
      <w:pPr>
        <w:numPr>
          <w:ilvl w:val="0"/>
          <w:numId w:val="1"/>
        </w:numPr>
        <w:spacing w:after="200"/>
      </w:pPr>
      <w:hyperlink r:id="rId249">
        <w:r>
          <w:rPr>
            <w:b/>
            <w:bCs/>
            <w:i/>
            <w:iCs/>
            <w:color w:val="1155CC"/>
            <w:u w:val="single"/>
          </w:rPr>
          <w:t>The Book of Mormon and View of the Hebrews</w:t>
        </w:r>
      </w:hyperlink>
    </w:p>
    <w:sectPr w:rsidR="00A32788">
      <w:pgSz w:w="12240" w:h="15840"/>
      <w:pgMar w:top="1296" w:right="1440" w:bottom="129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F9C968-7DD9-46DF-BDE0-90F2EF10E6E7}"/>
    <w:embedBold r:id="rId2" w:fontKey="{93BE008C-671F-4716-AD75-DCAD1D76A129}"/>
    <w:embedItalic r:id="rId3" w:fontKey="{31790B03-9D83-4E68-912F-D6D1B6BF0AE7}"/>
    <w:embedBoldItalic r:id="rId4" w:fontKey="{3170BB39-7AE2-4003-81C5-1AC370696666}"/>
  </w:font>
  <w:font w:name="Georgia">
    <w:panose1 w:val="02040502050405020303"/>
    <w:charset w:val="00"/>
    <w:family w:val="roman"/>
    <w:pitch w:val="variable"/>
    <w:sig w:usb0="00000287" w:usb1="00000000" w:usb2="00000000" w:usb3="00000000" w:csb0="0000009F" w:csb1="00000000"/>
    <w:embedItalic r:id="rId5" w:fontKey="{D45D95DD-A67B-49CD-BAFC-FEF9D5B66B24}"/>
  </w:font>
  <w:font w:name="Cambria">
    <w:panose1 w:val="02040503050406030204"/>
    <w:charset w:val="00"/>
    <w:family w:val="roman"/>
    <w:pitch w:val="variable"/>
    <w:sig w:usb0="E00006FF" w:usb1="420024FF" w:usb2="02000000" w:usb3="00000000" w:csb0="0000019F" w:csb1="00000000"/>
    <w:embedRegular r:id="rId6" w:fontKey="{895D2030-747E-4DA5-8BA6-02001B223C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0836"/>
    <w:multiLevelType w:val="multilevel"/>
    <w:tmpl w:val="5D8E8FF6"/>
    <w:lvl w:ilvl="0">
      <w:start w:val="1"/>
      <w:numFmt w:val="bullet"/>
      <w:lvlText w:val="●"/>
      <w:lvlJc w:val="left"/>
      <w:pPr>
        <w:ind w:left="460" w:hanging="260"/>
      </w:p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65AE0A9E"/>
    <w:multiLevelType w:val="multilevel"/>
    <w:tmpl w:val="1B8E9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79606B"/>
    <w:multiLevelType w:val="multilevel"/>
    <w:tmpl w:val="41E43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9091372">
    <w:abstractNumId w:val="1"/>
  </w:num>
  <w:num w:numId="2" w16cid:durableId="1722484363">
    <w:abstractNumId w:val="2"/>
  </w:num>
  <w:num w:numId="3" w16cid:durableId="1776049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788"/>
    <w:rsid w:val="003D3C9D"/>
    <w:rsid w:val="00745E5D"/>
    <w:rsid w:val="00A32788"/>
    <w:rsid w:val="00D638BF"/>
    <w:rsid w:val="00E75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5FB48"/>
  <w15:docId w15:val="{273882F5-703A-4E8E-9DE7-26DA07462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single" w:sz="10" w:space="4" w:color="7A1F2B"/>
        <w:right w:val="nil"/>
        <w:between w:val="nil"/>
      </w:pBdr>
      <w:spacing w:before="300" w:after="130"/>
      <w:outlineLvl w:val="0"/>
    </w:pPr>
    <w:rPr>
      <w:b/>
      <w:bCs/>
      <w:color w:val="7A1F2B"/>
      <w:sz w:val="29"/>
      <w:szCs w:val="29"/>
    </w:rPr>
  </w:style>
  <w:style w:type="paragraph" w:styleId="Heading2">
    <w:name w:val="heading 2"/>
    <w:basedOn w:val="Normal"/>
    <w:next w:val="Normal"/>
    <w:uiPriority w:val="9"/>
    <w:unhideWhenUsed/>
    <w:qFormat/>
    <w:pPr>
      <w:pBdr>
        <w:top w:val="nil"/>
        <w:left w:val="nil"/>
        <w:bottom w:val="nil"/>
        <w:right w:val="nil"/>
        <w:between w:val="nil"/>
      </w:pBdr>
      <w:spacing w:before="190" w:after="70"/>
      <w:outlineLvl w:val="1"/>
    </w:pPr>
    <w:rPr>
      <w:b/>
      <w:bCs/>
      <w:color w:val="1F3864"/>
      <w:sz w:val="23"/>
      <w:szCs w:val="23"/>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0" w:type="dxa"/>
        <w:bottom w:w="0" w:type="dxa"/>
        <w:right w:w="10" w:type="dxa"/>
      </w:tblCellMar>
    </w:tblPr>
  </w:style>
  <w:style w:type="character" w:styleId="Hyperlink">
    <w:name w:val="Hyperlink"/>
    <w:basedOn w:val="DefaultParagraphFont"/>
    <w:uiPriority w:val="99"/>
    <w:unhideWhenUsed/>
    <w:rsid w:val="00D638BF"/>
    <w:rPr>
      <w:color w:val="0000FF" w:themeColor="hyperlink"/>
      <w:u w:val="single"/>
    </w:rPr>
  </w:style>
  <w:style w:type="character" w:styleId="UnresolvedMention">
    <w:name w:val="Unresolved Mention"/>
    <w:basedOn w:val="DefaultParagraphFont"/>
    <w:uiPriority w:val="99"/>
    <w:semiHidden/>
    <w:unhideWhenUsed/>
    <w:rsid w:val="00D63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archive.org/details/volume-1_202010" TargetMode="External"/><Relationship Id="rId21" Type="http://schemas.openxmlformats.org/officeDocument/2006/relationships/hyperlink" Target="https://www.churchofjesuschrist.org/study/scriptures/bofm/2-ne/25?lang=eng" TargetMode="External"/><Relationship Id="rId42" Type="http://schemas.openxmlformats.org/officeDocument/2006/relationships/hyperlink" Target="https://www.churchofjesuschrist.org/study/scriptures/bofm/3-ne/13?lang=eng" TargetMode="External"/><Relationship Id="rId63" Type="http://schemas.openxmlformats.org/officeDocument/2006/relationships/hyperlink" Target="https://www.churchofjesuschrist.org/study/scriptures/bofm/3-ne/13?lang=eng" TargetMode="External"/><Relationship Id="rId84" Type="http://schemas.openxmlformats.org/officeDocument/2006/relationships/hyperlink" Target="https://www.churchofjesuschrist.org/study/scriptures/bofm/alma/43?lang=eng" TargetMode="External"/><Relationship Id="rId138" Type="http://schemas.openxmlformats.org/officeDocument/2006/relationships/hyperlink" Target="https://www.churchofjesuschrist.org/study/scriptures/bofm/three?lang=eng" TargetMode="External"/><Relationship Id="rId159" Type="http://schemas.openxmlformats.org/officeDocument/2006/relationships/hyperlink" Target="https://www.churchofjesuschrist.org/study/scriptures/bofm/jacob/2?lang=eng" TargetMode="External"/><Relationship Id="rId170" Type="http://schemas.openxmlformats.org/officeDocument/2006/relationships/hyperlink" Target="https://rsc.byu.edu/joseph-smith-prophet-seer/joseph-smith-kirtland-crisis-1837" TargetMode="External"/><Relationship Id="rId191" Type="http://schemas.openxmlformats.org/officeDocument/2006/relationships/hyperlink" Target="https://www.churchofjesuschrist.org/study/history/topics/masonry?lang=eng" TargetMode="External"/><Relationship Id="rId205" Type="http://schemas.openxmlformats.org/officeDocument/2006/relationships/hyperlink" Target="https://www.churchofjesuschrist.org/study/scriptures/ot/deut/4?lang=eng" TargetMode="External"/><Relationship Id="rId226" Type="http://schemas.openxmlformats.org/officeDocument/2006/relationships/hyperlink" Target="https://www.churchofjesuschrist.org/study/scriptures/ot/jer/17?lang=eng" TargetMode="External"/><Relationship Id="rId247" Type="http://schemas.openxmlformats.org/officeDocument/2006/relationships/hyperlink" Target="https://ldstruthclaims.com/full-manuscript" TargetMode="External"/><Relationship Id="rId107" Type="http://schemas.openxmlformats.org/officeDocument/2006/relationships/hyperlink" Target="https://etsjets.org/wp-content/uploads/2013/05/files_JETS-PDFs_10_10-4_BETS_10_4_227-244_Walters.pdf" TargetMode="External"/><Relationship Id="rId11" Type="http://schemas.openxmlformats.org/officeDocument/2006/relationships/hyperlink" Target="https://www.dialoguejournal.com/articles/the-original-length-of-the-scroll-of-hor/" TargetMode="External"/><Relationship Id="rId32" Type="http://schemas.openxmlformats.org/officeDocument/2006/relationships/hyperlink" Target="https://www.churchofjesuschrist.org/study/scriptures/bofm/2-ne/19?lang=eng" TargetMode="External"/><Relationship Id="rId53" Type="http://schemas.openxmlformats.org/officeDocument/2006/relationships/hyperlink" Target="https://www.researchgate.net/publication/250900139_Reassessing_authorship_of_the_Book_of_Mormon_using_delta_and_nearest_shrunken_centroid_classification" TargetMode="External"/><Relationship Id="rId74" Type="http://schemas.openxmlformats.org/officeDocument/2006/relationships/hyperlink" Target="https://www.fairlatterdaysaints.org/answers/Book_of_Mormon/Anachronisms/Biblical/Deutero-Isaiah" TargetMode="External"/><Relationship Id="rId128" Type="http://schemas.openxmlformats.org/officeDocument/2006/relationships/hyperlink" Target="https://rsc.byu.edu/no-weapon-shall-prosper/did-joseph-smith-translate-kinderhook-plates" TargetMode="External"/><Relationship Id="rId149" Type="http://schemas.openxmlformats.org/officeDocument/2006/relationships/hyperlink" Target="https://archive.org/details/addresstoallbeli00whit" TargetMode="External"/><Relationship Id="rId5" Type="http://schemas.openxmlformats.org/officeDocument/2006/relationships/hyperlink" Target="https://www.churchofjesuschrist.org/study/manual/gospel-topics-essays/essays?lang=eng" TargetMode="External"/><Relationship Id="rId95" Type="http://schemas.openxmlformats.org/officeDocument/2006/relationships/hyperlink" Target="https://archive.org/details/mormonismunvaile00howe" TargetMode="External"/><Relationship Id="rId160" Type="http://schemas.openxmlformats.org/officeDocument/2006/relationships/hyperlink" Target="https://josephsmithspolygamy.org/plural-wives-overview/helen-mar-kimball/" TargetMode="External"/><Relationship Id="rId181" Type="http://schemas.openxmlformats.org/officeDocument/2006/relationships/hyperlink" Target="https://www.churchofjesuschrist.org/study/scriptures/nt/matt/16?lang=eng" TargetMode="External"/><Relationship Id="rId216" Type="http://schemas.openxmlformats.org/officeDocument/2006/relationships/hyperlink" Target="https://www.deseret.com/2017/1/10/20603771/mormonleaks-dumps-four-new-documents-about-lds-church/" TargetMode="External"/><Relationship Id="rId237" Type="http://schemas.openxmlformats.org/officeDocument/2006/relationships/hyperlink" Target="https://www.churchofjesuschrist.org/study/manual/gospel-topics-essays/the-manifesto-and-the-end-of-plural-marriage?lang=eng" TargetMode="External"/><Relationship Id="rId22" Type="http://schemas.openxmlformats.org/officeDocument/2006/relationships/hyperlink" Target="https://www.churchofjesuschrist.org/study/scriptures/bofm/alma/46?lang=eng" TargetMode="External"/><Relationship Id="rId43" Type="http://schemas.openxmlformats.org/officeDocument/2006/relationships/hyperlink" Target="https://www.churchofjesuschrist.org/study/scriptures/nt/matt/6?lang=eng" TargetMode="External"/><Relationship Id="rId64" Type="http://schemas.openxmlformats.org/officeDocument/2006/relationships/hyperlink" Target="https://www.churchofjesuschrist.org/study/scriptures/nt/matt/6?lang=eng" TargetMode="External"/><Relationship Id="rId118" Type="http://schemas.openxmlformats.org/officeDocument/2006/relationships/hyperlink" Target="https://www.churchofjesuschrist.org/study/manual/gospel-topics-essays/book-of-mormon-translation?lang=eng" TargetMode="External"/><Relationship Id="rId139" Type="http://schemas.openxmlformats.org/officeDocument/2006/relationships/hyperlink" Target="https://byustudies.byu.edu/article/a-witness-in-england-martin-harris-and-the-strangite-mission" TargetMode="External"/><Relationship Id="rId85" Type="http://schemas.openxmlformats.org/officeDocument/2006/relationships/hyperlink" Target="https://github.com/wordtreefoundation/thelatewar" TargetMode="External"/><Relationship Id="rId150" Type="http://schemas.openxmlformats.org/officeDocument/2006/relationships/hyperlink" Target="https://archive.org/details/mormonismunvaile00howe/page/286/mode/2up" TargetMode="External"/><Relationship Id="rId171" Type="http://schemas.openxmlformats.org/officeDocument/2006/relationships/hyperlink" Target="https://www.churchofjesuschrist.org/study/manual/gospel-topics-essays/race-and-the-priesthood?lang=eng" TargetMode="External"/><Relationship Id="rId192" Type="http://schemas.openxmlformats.org/officeDocument/2006/relationships/hyperlink" Target="https://www.churchofjesuschrist.org/study/scriptures/bofm/mosiah/15?lang=eng" TargetMode="External"/><Relationship Id="rId206" Type="http://schemas.openxmlformats.org/officeDocument/2006/relationships/hyperlink" Target="https://www.churchofjesuschrist.org/study/scriptures/ot/prov/30?lang=eng" TargetMode="External"/><Relationship Id="rId227" Type="http://schemas.openxmlformats.org/officeDocument/2006/relationships/hyperlink" Target="https://www.churchofjesuschrist.org/study/general-conference/2013/10/come-join-with-us?lang=eng" TargetMode="External"/><Relationship Id="rId248" Type="http://schemas.openxmlformats.org/officeDocument/2006/relationships/hyperlink" Target="https://ldstruthclaims.com/late-war-parallels" TargetMode="External"/><Relationship Id="rId12" Type="http://schemas.openxmlformats.org/officeDocument/2006/relationships/hyperlink" Target="https://www.churchofjesuschrist.org/study/manual/gospel-topics-essays/translation-and-historicity-of-the-book-of-abraham?lang=eng" TargetMode="External"/><Relationship Id="rId17" Type="http://schemas.openxmlformats.org/officeDocument/2006/relationships/hyperlink" Target="https://www.churchofjesuschrist.org/study/scriptures/bofm/mosiah/3?lang=eng" TargetMode="External"/><Relationship Id="rId33" Type="http://schemas.openxmlformats.org/officeDocument/2006/relationships/hyperlink" Target="https://www.churchofjesuschrist.org/study/scriptures/ot/isa/9?lang=eng" TargetMode="External"/><Relationship Id="rId38" Type="http://schemas.openxmlformats.org/officeDocument/2006/relationships/hyperlink" Target="https://www.churchofjesuschrist.org/study/scriptures/bofm/mosiah/14?lang=eng" TargetMode="External"/><Relationship Id="rId59" Type="http://schemas.openxmlformats.org/officeDocument/2006/relationships/hyperlink" Target="https://ldstruthclaims.com/full-manuscript" TargetMode="External"/><Relationship Id="rId103" Type="http://schemas.openxmlformats.org/officeDocument/2006/relationships/hyperlink" Target="https://www.churchofjesuschrist.org/study/scriptures/bofm/2-ne/30?lang=eng" TargetMode="External"/><Relationship Id="rId108" Type="http://schemas.openxmlformats.org/officeDocument/2006/relationships/hyperlink" Target="https://byustudies.byu.edu/online-book/opening-the-heavens/analysis-of-joseph-smiths-accounts-of-his-first-vision" TargetMode="External"/><Relationship Id="rId124" Type="http://schemas.openxmlformats.org/officeDocument/2006/relationships/hyperlink" Target="https://www.fairlatterdaysaints.org/answers/Weight_and_size_of_the_gold_plates" TargetMode="External"/><Relationship Id="rId129" Type="http://schemas.openxmlformats.org/officeDocument/2006/relationships/hyperlink" Target="https://rsc.byu.edu/no-weapon-shall-prosper/did-joseph-smith-translate-kinderhook-plates" TargetMode="External"/><Relationship Id="rId54" Type="http://schemas.openxmlformats.org/officeDocument/2006/relationships/hyperlink" Target="https://www.researchgate.net/publication/250900139_Reassessing_authorship_of_the_Book_of_Mormon_using_delta_and_nearest_shrunken_centroid_classification" TargetMode="External"/><Relationship Id="rId70" Type="http://schemas.openxmlformats.org/officeDocument/2006/relationships/hyperlink" Target="https://yalebooks.yale.edu/book/9780300140545/isaiah-40-55/" TargetMode="External"/><Relationship Id="rId75" Type="http://schemas.openxmlformats.org/officeDocument/2006/relationships/hyperlink" Target="https://www.churchofjesuschrist.org/study/manual/gospel-topics/book-of-mormon-geography?lang=eng" TargetMode="External"/><Relationship Id="rId91" Type="http://schemas.openxmlformats.org/officeDocument/2006/relationships/hyperlink" Target="https://rsc.byu.edu/book-mormon-authorship/b-h-roberts-book-mormon" TargetMode="External"/><Relationship Id="rId96" Type="http://schemas.openxmlformats.org/officeDocument/2006/relationships/hyperlink" Target="https://www.churchofjesuschrist.org/study/scriptures/bofm/morm/9?lang=eng" TargetMode="External"/><Relationship Id="rId140" Type="http://schemas.openxmlformats.org/officeDocument/2006/relationships/hyperlink" Target="https://www.fairlatterdaysaints.org/answers/Martin_Harris/Was_he_unstable,_gullible_and_superstitious" TargetMode="External"/><Relationship Id="rId145" Type="http://schemas.openxmlformats.org/officeDocument/2006/relationships/hyperlink" Target="https://witnessesofthebookofmormon.org/three-witnesses/david-whitmer/statements/" TargetMode="External"/><Relationship Id="rId161" Type="http://schemas.openxmlformats.org/officeDocument/2006/relationships/hyperlink" Target="https://www.churchofjesuschrist.org/study/scriptures/bofm/jacob/2?lang=eng" TargetMode="External"/><Relationship Id="rId166" Type="http://schemas.openxmlformats.org/officeDocument/2006/relationships/hyperlink" Target="https://www.churchofjesuschrist.org/study/scriptures/dc-testament/dc/87?lang=eng" TargetMode="External"/><Relationship Id="rId182" Type="http://schemas.openxmlformats.org/officeDocument/2006/relationships/hyperlink" Target="https://www.churchofjesuschrist.org/study/scriptures/nt/matt/18?lang=eng" TargetMode="External"/><Relationship Id="rId187" Type="http://schemas.openxmlformats.org/officeDocument/2006/relationships/hyperlink" Target="https://uofupress.com/books/josephs-temples/" TargetMode="External"/><Relationship Id="rId217" Type="http://schemas.openxmlformats.org/officeDocument/2006/relationships/hyperlink" Target="https://www.churchofjesuschrist.org/study/scriptures/nt/matt/23?lang=eng" TargetMode="External"/><Relationship Id="rId1" Type="http://schemas.openxmlformats.org/officeDocument/2006/relationships/numbering" Target="numbering.xml"/><Relationship Id="rId6" Type="http://schemas.openxmlformats.org/officeDocument/2006/relationships/hyperlink" Target="https://www.churchofjesuschrist.org/study/scriptures/pgp/abr/1?lang=eng" TargetMode="External"/><Relationship Id="rId212" Type="http://schemas.openxmlformats.org/officeDocument/2006/relationships/hyperlink" Target="https://papers.ssrn.com/sol3/papers.cfm?abstract_id=1754069" TargetMode="External"/><Relationship Id="rId233" Type="http://schemas.openxmlformats.org/officeDocument/2006/relationships/hyperlink" Target="https://www.churchofjesuschrist.org/study/history/topics/succession-of-church-leadership?lang=eng" TargetMode="External"/><Relationship Id="rId238" Type="http://schemas.openxmlformats.org/officeDocument/2006/relationships/hyperlink" Target="https://www.churchofjesuschrist.org/study/manual/gospel-topics-essays/peace-and-violence-among-19th-century-latter-day-saints?lang=eng" TargetMode="External"/><Relationship Id="rId23" Type="http://schemas.openxmlformats.org/officeDocument/2006/relationships/hyperlink" Target="https://www.churchofjesuschrist.org/study/scriptures/nt/acts/11?lang=eng" TargetMode="External"/><Relationship Id="rId28" Type="http://schemas.openxmlformats.org/officeDocument/2006/relationships/hyperlink" Target="https://www.churchofjesuschrist.org/study/scriptures/bofm/2-ne/12?lang=eng" TargetMode="External"/><Relationship Id="rId49" Type="http://schemas.openxmlformats.org/officeDocument/2006/relationships/hyperlink" Target="https://www.churchofjesuschrist.org/study/scriptures/bofm/alma/36?lang=eng" TargetMode="External"/><Relationship Id="rId114" Type="http://schemas.openxmlformats.org/officeDocument/2006/relationships/hyperlink" Target="https://www.churchofjesuschrist.org/study/history/topics/joseph-smiths-1826-trial?lang=eng" TargetMode="External"/><Relationship Id="rId119" Type="http://schemas.openxmlformats.org/officeDocument/2006/relationships/hyperlink" Target="https://www.churchofjesuschrist.org/study/scriptures/pgp/js-h/1?lang=eng" TargetMode="External"/><Relationship Id="rId44" Type="http://schemas.openxmlformats.org/officeDocument/2006/relationships/hyperlink" Target="https://www.churchofjesuschrist.org/study/scriptures/bofm/2-ne/23?lang=eng" TargetMode="External"/><Relationship Id="rId60" Type="http://schemas.openxmlformats.org/officeDocument/2006/relationships/hyperlink" Target="https://ldstruthclaims.com/full-manuscript" TargetMode="External"/><Relationship Id="rId65" Type="http://schemas.openxmlformats.org/officeDocument/2006/relationships/hyperlink" Target="https://www.churchofjesuschrist.org/study/scriptures/jst/jst-matt/6?lang=eng&amp;id=p25-p27" TargetMode="External"/><Relationship Id="rId81" Type="http://schemas.openxmlformats.org/officeDocument/2006/relationships/hyperlink" Target="https://www.churchofjesuschrist.org/study/manual/gospel-topics-essays/book-of-mormon-and-dna-studies?lang=eng" TargetMode="External"/><Relationship Id="rId86" Type="http://schemas.openxmlformats.org/officeDocument/2006/relationships/hyperlink" Target="https://ldstruthclaims.com/late-war-parallels" TargetMode="External"/><Relationship Id="rId130" Type="http://schemas.openxmlformats.org/officeDocument/2006/relationships/hyperlink" Target="https://www.churchofjesuschrist.org/study/scriptures/dc-testament/dc/10?lang=eng" TargetMode="External"/><Relationship Id="rId135" Type="http://schemas.openxmlformats.org/officeDocument/2006/relationships/hyperlink" Target="https://www.churchofjesuschrist.org/study/scriptures/dc-testament/dc/119?lang=eng" TargetMode="External"/><Relationship Id="rId151" Type="http://schemas.openxmlformats.org/officeDocument/2006/relationships/hyperlink" Target="https://www.churchofjesuschrist.org/study/manual/gospel-topics-essays/plural-marriage-in-kirtland-and-nauvoo?lang=eng" TargetMode="External"/><Relationship Id="rId156" Type="http://schemas.openxmlformats.org/officeDocument/2006/relationships/hyperlink" Target="https://www.churchofjesuschrist.org/study/manual/gospel-topics-essays/plural-marriage-in-kirtland-and-nauvoo?lang=eng" TargetMode="External"/><Relationship Id="rId177" Type="http://schemas.openxmlformats.org/officeDocument/2006/relationships/hyperlink" Target="https://www.churchofjesuschrist.org/study/scriptures/nt/matt/22?lang=eng" TargetMode="External"/><Relationship Id="rId198" Type="http://schemas.openxmlformats.org/officeDocument/2006/relationships/hyperlink" Target="https://en.wikisource.org/wiki/Journal_of_Discourses/Volume_13" TargetMode="External"/><Relationship Id="rId172" Type="http://schemas.openxmlformats.org/officeDocument/2006/relationships/hyperlink" Target="https://rsc.byu.edu/sperry-symposium-classics-doctrine-covenants/official-declaration-2" TargetMode="External"/><Relationship Id="rId193" Type="http://schemas.openxmlformats.org/officeDocument/2006/relationships/hyperlink" Target="https://www.churchofjesuschrist.org/study/scriptures/dc-testament/dc/130?lang=eng" TargetMode="External"/><Relationship Id="rId202" Type="http://schemas.openxmlformats.org/officeDocument/2006/relationships/hyperlink" Target="https://www.churchofjesuschrist.org/study/scriptures/nt/1-cor/15?lang=eng" TargetMode="External"/><Relationship Id="rId207" Type="http://schemas.openxmlformats.org/officeDocument/2006/relationships/hyperlink" Target="https://www.churchofjesuschrist.org/study/scriptures/nt/rev/22?lang=eng" TargetMode="External"/><Relationship Id="rId223" Type="http://schemas.openxmlformats.org/officeDocument/2006/relationships/hyperlink" Target="https://www.churchofjesuschrist.org/study/scriptures/nt/mark/7?lang=eng" TargetMode="External"/><Relationship Id="rId228" Type="http://schemas.openxmlformats.org/officeDocument/2006/relationships/hyperlink" Target="https://www.churchofjesuschrist.org/study/scriptures/nt/heb/11?lang=eng" TargetMode="External"/><Relationship Id="rId244" Type="http://schemas.openxmlformats.org/officeDocument/2006/relationships/hyperlink" Target="https://byustudies.byu.edu/article/priesthood-restoration-documents" TargetMode="External"/><Relationship Id="rId249" Type="http://schemas.openxmlformats.org/officeDocument/2006/relationships/hyperlink" Target="https://ldstruthclaims.com/view-hebrews-parallels" TargetMode="External"/><Relationship Id="rId13" Type="http://schemas.openxmlformats.org/officeDocument/2006/relationships/hyperlink" Target="https://scriptures.byu.edu/tpjs/STPJS.pdf" TargetMode="External"/><Relationship Id="rId18" Type="http://schemas.openxmlformats.org/officeDocument/2006/relationships/hyperlink" Target="https://www.churchofjesuschrist.org/study/scriptures/bofm/2-ne/25?lang=eng" TargetMode="External"/><Relationship Id="rId39" Type="http://schemas.openxmlformats.org/officeDocument/2006/relationships/hyperlink" Target="https://www.churchofjesuschrist.org/study/scriptures/ot/isa/53?lang=eng" TargetMode="External"/><Relationship Id="rId109" Type="http://schemas.openxmlformats.org/officeDocument/2006/relationships/hyperlink" Target="https://byustudies.byu.edu/online-book/opening-the-heavens/analysis-of-joseph-smiths-accounts-of-his-first-vision" TargetMode="External"/><Relationship Id="rId34" Type="http://schemas.openxmlformats.org/officeDocument/2006/relationships/hyperlink" Target="https://www.churchofjesuschrist.org/study/scriptures/bofm/2-ne/16?lang=eng" TargetMode="External"/><Relationship Id="rId50" Type="http://schemas.openxmlformats.org/officeDocument/2006/relationships/hyperlink" Target="https://www.churchofjesuschrist.org/study/scriptures/ot/gen/9?lang=eng" TargetMode="External"/><Relationship Id="rId55" Type="http://schemas.openxmlformats.org/officeDocument/2006/relationships/hyperlink" Target="https://www.researchgate.net/publication/220675429_Extended_nearest_shrunken_centroid_classification_A_new_method_for_open-set_authorship_attribution_of_texts_of_varying_sizes" TargetMode="External"/><Relationship Id="rId76" Type="http://schemas.openxmlformats.org/officeDocument/2006/relationships/hyperlink" Target="http://mormonstories.org/wp-content/uploads/2011/08/Dialogue_V08N02_42-1.pdf" TargetMode="External"/><Relationship Id="rId97" Type="http://schemas.openxmlformats.org/officeDocument/2006/relationships/hyperlink" Target="https://www.churchofjesuschrist.org/study/scriptures/bofm/mosiah/21?lang=eng" TargetMode="External"/><Relationship Id="rId104" Type="http://schemas.openxmlformats.org/officeDocument/2006/relationships/hyperlink" Target="https://www.churchofjesuschrist.org/study/manual/gospel-topics-essays/first-vision-accounts?lang=eng" TargetMode="External"/><Relationship Id="rId120" Type="http://schemas.openxmlformats.org/officeDocument/2006/relationships/hyperlink" Target="https://www.churchofjesuschrist.org/study/scriptures/bofm/mosiah/8?lang=eng" TargetMode="External"/><Relationship Id="rId125" Type="http://schemas.openxmlformats.org/officeDocument/2006/relationships/hyperlink" Target="https://witnessesofthebookofmormon.org/questions/description-of-plates/" TargetMode="External"/><Relationship Id="rId141" Type="http://schemas.openxmlformats.org/officeDocument/2006/relationships/hyperlink" Target="https://www.fairlatterdaysaints.org/answers/Martin_Harris/Was_he_unstable,_gullible_and_superstitious" TargetMode="External"/><Relationship Id="rId146" Type="http://schemas.openxmlformats.org/officeDocument/2006/relationships/hyperlink" Target="https://witnessesofthebookofmormon.org/three-witnesses/martin-harris/statements/" TargetMode="External"/><Relationship Id="rId167" Type="http://schemas.openxmlformats.org/officeDocument/2006/relationships/hyperlink" Target="https://en.wikipedia.org/wiki/Kirtland_Safety_Society" TargetMode="External"/><Relationship Id="rId188" Type="http://schemas.openxmlformats.org/officeDocument/2006/relationships/hyperlink" Target="https://www.churchofjesuschrist.org/study/scriptures/bofm/ether/8?lang=eng" TargetMode="External"/><Relationship Id="rId7" Type="http://schemas.openxmlformats.org/officeDocument/2006/relationships/hyperlink" Target="https://www.josephsmithpapers.org/intro/introduction-to-revelations-and-translations-volume-4" TargetMode="External"/><Relationship Id="rId71" Type="http://schemas.openxmlformats.org/officeDocument/2006/relationships/hyperlink" Target="https://www.churchofjesuschrist.org/study/scriptures/ot/isa/44?lang=eng" TargetMode="External"/><Relationship Id="rId92" Type="http://schemas.openxmlformats.org/officeDocument/2006/relationships/hyperlink" Target="https://ldstruthclaims.com/view-hebrews-parallels" TargetMode="External"/><Relationship Id="rId162" Type="http://schemas.openxmlformats.org/officeDocument/2006/relationships/hyperlink" Target="https://www.churchofjesuschrist.org/study/scriptures/ot/deut/18?lang=eng" TargetMode="External"/><Relationship Id="rId183" Type="http://schemas.openxmlformats.org/officeDocument/2006/relationships/hyperlink" Target="https://www.churchofjesuschrist.org/study/scriptures/ot/gen/2?lang=eng" TargetMode="External"/><Relationship Id="rId213" Type="http://schemas.openxmlformats.org/officeDocument/2006/relationships/hyperlink" Target="https://newsroom.churchofjesuschrist.org/article/first-presidency-message-covid-19-august-2021" TargetMode="External"/><Relationship Id="rId218" Type="http://schemas.openxmlformats.org/officeDocument/2006/relationships/hyperlink" Target="https://www.churchofjesuschrist.org/study/scriptures/nt/mark/7?lang=eng" TargetMode="External"/><Relationship Id="rId234" Type="http://schemas.openxmlformats.org/officeDocument/2006/relationships/hyperlink" Target="https://www.sec.gov/newsroom/press-releases/2023-35" TargetMode="External"/><Relationship Id="rId239" Type="http://schemas.openxmlformats.org/officeDocument/2006/relationships/hyperlink" Target="https://byustudies.byu.edu/online-book/opening-the-heavens/analysis-of-joseph-smiths-accounts-of-his-first-vision" TargetMode="External"/><Relationship Id="rId2" Type="http://schemas.openxmlformats.org/officeDocument/2006/relationships/styles" Target="styles.xml"/><Relationship Id="rId29" Type="http://schemas.openxmlformats.org/officeDocument/2006/relationships/hyperlink" Target="https://www.churchofjesuschrist.org/study/scriptures/ot/isa/2?lang=eng" TargetMode="External"/><Relationship Id="rId250" Type="http://schemas.openxmlformats.org/officeDocument/2006/relationships/fontTable" Target="fontTable.xml"/><Relationship Id="rId24" Type="http://schemas.openxmlformats.org/officeDocument/2006/relationships/hyperlink" Target="https://ldstruthclaims.com/four-studies" TargetMode="External"/><Relationship Id="rId40" Type="http://schemas.openxmlformats.org/officeDocument/2006/relationships/hyperlink" Target="https://ldstruthclaims.com/four-studies" TargetMode="External"/><Relationship Id="rId45" Type="http://schemas.openxmlformats.org/officeDocument/2006/relationships/hyperlink" Target="https://www.churchofjesuschrist.org/study/scriptures/ot/isa/13?lang=eng" TargetMode="External"/><Relationship Id="rId66" Type="http://schemas.openxmlformats.org/officeDocument/2006/relationships/hyperlink" Target="https://www.churchofjesuschrist.org/study/scriptures/ot/isa/40?lang=eng" TargetMode="External"/><Relationship Id="rId87" Type="http://schemas.openxmlformats.org/officeDocument/2006/relationships/hyperlink" Target="https://ldstruthclaims.com/late-war-parallels" TargetMode="External"/><Relationship Id="rId110" Type="http://schemas.openxmlformats.org/officeDocument/2006/relationships/hyperlink" Target="https://www.churchofjesuschrist.org/study/manual/first-vision-accounts-faq/04-was-the-1832-account?lang=eng" TargetMode="External"/><Relationship Id="rId115" Type="http://schemas.openxmlformats.org/officeDocument/2006/relationships/hyperlink" Target="https://archive.org/details/mormonismunvaile00howe" TargetMode="External"/><Relationship Id="rId131" Type="http://schemas.openxmlformats.org/officeDocument/2006/relationships/hyperlink" Target="https://www.churchofjesuschrist.org/study/scriptures/bofm/1-ne/9?lang=eng" TargetMode="External"/><Relationship Id="rId136" Type="http://schemas.openxmlformats.org/officeDocument/2006/relationships/hyperlink" Target="https://www.churchofjesuschrist.org/study/scriptures/dc-testament/od/1?lang=eng" TargetMode="External"/><Relationship Id="rId157" Type="http://schemas.openxmlformats.org/officeDocument/2006/relationships/hyperlink" Target="https://whitmercollege.com/topics/adultery-yes/" TargetMode="External"/><Relationship Id="rId178" Type="http://schemas.openxmlformats.org/officeDocument/2006/relationships/hyperlink" Target="https://www.churchofjesuschrist.org/study/scriptures/nt/mark/12?lang=eng" TargetMode="External"/><Relationship Id="rId61" Type="http://schemas.openxmlformats.org/officeDocument/2006/relationships/hyperlink" Target="https://ldstruthclaims.com/four-studies" TargetMode="External"/><Relationship Id="rId82" Type="http://schemas.openxmlformats.org/officeDocument/2006/relationships/hyperlink" Target="https://www.deseret.com/2007/11/8/20052445/debate-renewed-with-change-in-book-of-mormon-introduction/" TargetMode="External"/><Relationship Id="rId152" Type="http://schemas.openxmlformats.org/officeDocument/2006/relationships/hyperlink" Target="https://www.churchofjesuschrist.org/study/scriptures/bofm/jacob/2?lang=eng" TargetMode="External"/><Relationship Id="rId173" Type="http://schemas.openxmlformats.org/officeDocument/2006/relationships/hyperlink" Target="https://www.churchofjesuschrist.org/study/scriptures/nt/matt/22?lang=eng" TargetMode="External"/><Relationship Id="rId194" Type="http://schemas.openxmlformats.org/officeDocument/2006/relationships/hyperlink" Target="https://www.churchofjesuschrist.org/study/general-conference/1976/10/our-own-liahona?lang=eng" TargetMode="External"/><Relationship Id="rId199" Type="http://schemas.openxmlformats.org/officeDocument/2006/relationships/hyperlink" Target="https://www.churchofjesuschrist.org/study/scriptures/ot/lev/1?lang=eng" TargetMode="External"/><Relationship Id="rId203" Type="http://schemas.openxmlformats.org/officeDocument/2006/relationships/hyperlink" Target="https://www.churchofjesuschrist.org/study/scriptures/jst/jst-gen/50?lang=eng&amp;id=p24-p38" TargetMode="External"/><Relationship Id="rId208" Type="http://schemas.openxmlformats.org/officeDocument/2006/relationships/hyperlink" Target="https://www.churchofjesuschrist.org/study/scriptures/ot/amos/3?lang=eng" TargetMode="External"/><Relationship Id="rId229" Type="http://schemas.openxmlformats.org/officeDocument/2006/relationships/hyperlink" Target="https://www.churchofjesuschrist.org/study/scriptures/dc-testament/od/1?lang=eng" TargetMode="External"/><Relationship Id="rId19" Type="http://schemas.openxmlformats.org/officeDocument/2006/relationships/hyperlink" Target="https://www.churchofjesuschrist.org/study/scriptures/bofm/2-ne/25?lang=eng" TargetMode="External"/><Relationship Id="rId224" Type="http://schemas.openxmlformats.org/officeDocument/2006/relationships/hyperlink" Target="https://www.churchofjesuschrist.org/study/scriptures/nt/gal/1?lang=eng" TargetMode="External"/><Relationship Id="rId240" Type="http://schemas.openxmlformats.org/officeDocument/2006/relationships/hyperlink" Target="https://byustudies.byu.edu/online-book/opening-the-heavens/analysis-of-joseph-smiths-accounts-of-his-first-vision" TargetMode="External"/><Relationship Id="rId245" Type="http://schemas.openxmlformats.org/officeDocument/2006/relationships/hyperlink" Target="https://ldstruthclaims.com/four-studies" TargetMode="External"/><Relationship Id="rId14" Type="http://schemas.openxmlformats.org/officeDocument/2006/relationships/hyperlink" Target="https://www.churchofjesuschrist.org/study/scriptures/bofm/2-ne/31?lang=eng" TargetMode="External"/><Relationship Id="rId30" Type="http://schemas.openxmlformats.org/officeDocument/2006/relationships/hyperlink" Target="https://www.churchofjesuschrist.org/study/scriptures/bofm/2-ne/24?lang=eng" TargetMode="External"/><Relationship Id="rId35" Type="http://schemas.openxmlformats.org/officeDocument/2006/relationships/hyperlink" Target="https://www.churchofjesuschrist.org/study/scriptures/ot/isa/6?lang=eng" TargetMode="External"/><Relationship Id="rId56" Type="http://schemas.openxmlformats.org/officeDocument/2006/relationships/hyperlink" Target="https://www.researchgate.net/publication/220675429_Extended_nearest_shrunken_centroid_classification_A_new_method_for_open-set_authorship_attribution_of_texts_of_varying_sizes" TargetMode="External"/><Relationship Id="rId77" Type="http://schemas.openxmlformats.org/officeDocument/2006/relationships/hyperlink" Target="https://www.pbs.org/mormons/interviews/coe.html" TargetMode="External"/><Relationship Id="rId100" Type="http://schemas.openxmlformats.org/officeDocument/2006/relationships/hyperlink" Target="https://www.josephsmithpapers.org/paper-summary/printers-manuscript-of-the-book-of-mormon-circa-august-1829-circa-january-1830/1" TargetMode="External"/><Relationship Id="rId105" Type="http://schemas.openxmlformats.org/officeDocument/2006/relationships/hyperlink" Target="https://www.josephsmithpapers.org/site/accounts-of-the-first-vision" TargetMode="External"/><Relationship Id="rId126" Type="http://schemas.openxmlformats.org/officeDocument/2006/relationships/hyperlink" Target="https://doctrineandcovenantscentral.org/history/martin-harris-1859-interview-with-joel-tiffany-on-early-events-in-mormonism/" TargetMode="External"/><Relationship Id="rId147" Type="http://schemas.openxmlformats.org/officeDocument/2006/relationships/hyperlink" Target="https://scripturecentral.org/evidence/book-of-mormon-evidence-david-whitmer" TargetMode="External"/><Relationship Id="rId168" Type="http://schemas.openxmlformats.org/officeDocument/2006/relationships/hyperlink" Target="https://catalog.churchofjesuschrist.org/record/400c3266-ede2-43cf-9a24-50153adebbeb/0?view=browse" TargetMode="External"/><Relationship Id="rId8" Type="http://schemas.openxmlformats.org/officeDocument/2006/relationships/hyperlink" Target="https://www.churchofjesuschrist.org/study/manual/gospel-topics-essays/translation-and-historicity-of-the-book-of-abraham?lang=eng" TargetMode="External"/><Relationship Id="rId51" Type="http://schemas.openxmlformats.org/officeDocument/2006/relationships/hyperlink" Target="https://archive.org/details/lecturesonsacred00lowt" TargetMode="External"/><Relationship Id="rId72" Type="http://schemas.openxmlformats.org/officeDocument/2006/relationships/hyperlink" Target="https://www.churchofjesuschrist.org/study/scriptures/ot/isa/45?lang=eng" TargetMode="External"/><Relationship Id="rId93" Type="http://schemas.openxmlformats.org/officeDocument/2006/relationships/hyperlink" Target="https://ldstruthclaims.com/view-hebrews-parallels" TargetMode="External"/><Relationship Id="rId98" Type="http://schemas.openxmlformats.org/officeDocument/2006/relationships/hyperlink" Target="https://www.churchofjesuschrist.org/study/scriptures/bofm/1-ne/11?lang=eng" TargetMode="External"/><Relationship Id="rId121" Type="http://schemas.openxmlformats.org/officeDocument/2006/relationships/hyperlink" Target="https://www.churchofjesuschrist.org/study/scriptures/bofm/mosiah/8?lang=eng" TargetMode="External"/><Relationship Id="rId142" Type="http://schemas.openxmlformats.org/officeDocument/2006/relationships/hyperlink" Target="https://www.churchofjesuschrist.org/study/scriptures/pgp/js-h/1?lang=eng" TargetMode="External"/><Relationship Id="rId163" Type="http://schemas.openxmlformats.org/officeDocument/2006/relationships/hyperlink" Target="https://www.churchofjesuschrist.org/study/scriptures/dc-testament/dc/84?lang=eng" TargetMode="External"/><Relationship Id="rId184" Type="http://schemas.openxmlformats.org/officeDocument/2006/relationships/hyperlink" Target="https://www.churchofjesuschrist.org/study/scriptures/nt/matt/19?lang=eng" TargetMode="External"/><Relationship Id="rId189" Type="http://schemas.openxmlformats.org/officeDocument/2006/relationships/hyperlink" Target="https://www.churchofjesuschrist.org/study/scriptures/bofm/ether/8?lang=eng" TargetMode="External"/><Relationship Id="rId219" Type="http://schemas.openxmlformats.org/officeDocument/2006/relationships/hyperlink" Target="https://www.churchofjesuschrist.org/study/scriptures/nt/mark/7?lang=eng" TargetMode="External"/><Relationship Id="rId3" Type="http://schemas.openxmlformats.org/officeDocument/2006/relationships/settings" Target="settings.xml"/><Relationship Id="rId214" Type="http://schemas.openxmlformats.org/officeDocument/2006/relationships/hyperlink" Target="https://www.churchofjesuschrist.org/study/scriptures/dc-testament/dc/89?lang=eng" TargetMode="External"/><Relationship Id="rId230" Type="http://schemas.openxmlformats.org/officeDocument/2006/relationships/hyperlink" Target="https://byustudies.byu.edu/article/the-mantle-of-the-prophet-joseph-passes-to-brother-brigham-a-collective-spiritual-witness" TargetMode="External"/><Relationship Id="rId235" Type="http://schemas.openxmlformats.org/officeDocument/2006/relationships/hyperlink" Target="https://newsroom.churchofjesuschrist.org/article/church-issues-statement-on-sec-settlement" TargetMode="External"/><Relationship Id="rId251" Type="http://schemas.openxmlformats.org/officeDocument/2006/relationships/theme" Target="theme/theme1.xml"/><Relationship Id="rId25" Type="http://schemas.openxmlformats.org/officeDocument/2006/relationships/hyperlink" Target="https://ldstruthclaims.com/four-studies" TargetMode="External"/><Relationship Id="rId46" Type="http://schemas.openxmlformats.org/officeDocument/2006/relationships/hyperlink" Target="https://en.wikipedia.org/wiki/Linguistics_and_the_Book_of_Mormon" TargetMode="External"/><Relationship Id="rId67" Type="http://schemas.openxmlformats.org/officeDocument/2006/relationships/hyperlink" Target="https://www.churchofjesuschrist.org/study/scriptures/bofm/2-ne/7?lang=eng" TargetMode="External"/><Relationship Id="rId116" Type="http://schemas.openxmlformats.org/officeDocument/2006/relationships/hyperlink" Target="https://www.signaturebooks.com/books/p/early-mormonism-and-the-magic-world-view" TargetMode="External"/><Relationship Id="rId137" Type="http://schemas.openxmlformats.org/officeDocument/2006/relationships/hyperlink" Target="https://www.churchofjesuschrist.org/study/scriptures/dc-testament/od/2?lang=eng" TargetMode="External"/><Relationship Id="rId158" Type="http://schemas.openxmlformats.org/officeDocument/2006/relationships/hyperlink" Target="https://www.churchofjesuschrist.org/study/scriptures/dc-testament/dc/132?lang=eng" TargetMode="External"/><Relationship Id="rId20" Type="http://schemas.openxmlformats.org/officeDocument/2006/relationships/hyperlink" Target="https://www.eerdmans.com/9780802871084/baptism-in-the-early-church/" TargetMode="External"/><Relationship Id="rId41" Type="http://schemas.openxmlformats.org/officeDocument/2006/relationships/hyperlink" Target="https://ldstruthclaims.com/four-studies" TargetMode="External"/><Relationship Id="rId62" Type="http://schemas.openxmlformats.org/officeDocument/2006/relationships/hyperlink" Target="https://ldstruthclaims.com/four-studies" TargetMode="External"/><Relationship Id="rId83" Type="http://schemas.openxmlformats.org/officeDocument/2006/relationships/hyperlink" Target="https://www.signaturebooks.com/books/p/losing-a-lost-tribe" TargetMode="External"/><Relationship Id="rId88" Type="http://schemas.openxmlformats.org/officeDocument/2006/relationships/hyperlink" Target="https://ldstruthclaims.com/four-studies" TargetMode="External"/><Relationship Id="rId111" Type="http://schemas.openxmlformats.org/officeDocument/2006/relationships/hyperlink" Target="https://www.churchofjesuschrist.org/study/manual/gospel-topics-essays/book-of-mormon-translation?lang=eng" TargetMode="External"/><Relationship Id="rId132" Type="http://schemas.openxmlformats.org/officeDocument/2006/relationships/hyperlink" Target="https://scripturecentral.org/knowhy/how-does-the-mosiah-first-translation-sequence-strengthen-faith" TargetMode="External"/><Relationship Id="rId153" Type="http://schemas.openxmlformats.org/officeDocument/2006/relationships/hyperlink" Target="https://www.signaturebooks.com/books/p/in-sacred-loneliness" TargetMode="External"/><Relationship Id="rId174" Type="http://schemas.openxmlformats.org/officeDocument/2006/relationships/hyperlink" Target="https://www.churchofjesuschrist.org/study/scriptures/nt/mark/12?lang=eng" TargetMode="External"/><Relationship Id="rId179" Type="http://schemas.openxmlformats.org/officeDocument/2006/relationships/hyperlink" Target="https://www.churchofjesuschrist.org/study/scriptures/nt/luke/20?lang=eng" TargetMode="External"/><Relationship Id="rId195" Type="http://schemas.openxmlformats.org/officeDocument/2006/relationships/hyperlink" Target="https://en.wikisource.org/wiki/Journal_of_Discourses/Volume_1" TargetMode="External"/><Relationship Id="rId209" Type="http://schemas.openxmlformats.org/officeDocument/2006/relationships/hyperlink" Target="https://www.churchofjesuschrist.org/study/scriptures/ot/mal/3?lang=eng" TargetMode="External"/><Relationship Id="rId190" Type="http://schemas.openxmlformats.org/officeDocument/2006/relationships/hyperlink" Target="https://www.churchofjesuschrist.org/study/history/topics/masonry?lang=eng" TargetMode="External"/><Relationship Id="rId204" Type="http://schemas.openxmlformats.org/officeDocument/2006/relationships/hyperlink" Target="https://www.churchofjesuschrist.org/study/scriptures/bofm/2-ne/3?lang=eng" TargetMode="External"/><Relationship Id="rId220" Type="http://schemas.openxmlformats.org/officeDocument/2006/relationships/hyperlink" Target="https://www.churchofjesuschrist.org/study/scriptures/nt/matt/22?lang=eng" TargetMode="External"/><Relationship Id="rId225" Type="http://schemas.openxmlformats.org/officeDocument/2006/relationships/hyperlink" Target="https://www.churchofjesuschrist.org/study/scriptures/bofm/moro/10?lang=eng" TargetMode="External"/><Relationship Id="rId241" Type="http://schemas.openxmlformats.org/officeDocument/2006/relationships/hyperlink" Target="https://www.josephsmithpapers.org/site/priesthood-restoration" TargetMode="External"/><Relationship Id="rId246" Type="http://schemas.openxmlformats.org/officeDocument/2006/relationships/hyperlink" Target="https://ldstruthclaims.com/stylometric-study" TargetMode="External"/><Relationship Id="rId15" Type="http://schemas.openxmlformats.org/officeDocument/2006/relationships/hyperlink" Target="https://www.churchofjesuschrist.org/study/scriptures/bofm/mosiah/18?lang=eng" TargetMode="External"/><Relationship Id="rId36" Type="http://schemas.openxmlformats.org/officeDocument/2006/relationships/hyperlink" Target="https://www.churchofjesuschrist.org/study/scriptures/bofm/1-ne/20?lang=eng" TargetMode="External"/><Relationship Id="rId57" Type="http://schemas.openxmlformats.org/officeDocument/2006/relationships/hyperlink" Target="https://ldstruthclaims.com/stylometric-study" TargetMode="External"/><Relationship Id="rId106" Type="http://schemas.openxmlformats.org/officeDocument/2006/relationships/hyperlink" Target="https://byustudies.byu.edu/online-book/opening-the-heavens/analysis-of-joseph-smiths-accounts-of-his-first-vision" TargetMode="External"/><Relationship Id="rId127" Type="http://schemas.openxmlformats.org/officeDocument/2006/relationships/hyperlink" Target="https://www.churchofjesuschrist.org/study/history/topics/kinderhook-plates?lang=eng" TargetMode="External"/><Relationship Id="rId10" Type="http://schemas.openxmlformats.org/officeDocument/2006/relationships/hyperlink" Target="https://www.signaturebooks.com/books/p/the-joseph-smith-egyptian-papyri" TargetMode="External"/><Relationship Id="rId31" Type="http://schemas.openxmlformats.org/officeDocument/2006/relationships/hyperlink" Target="https://www.churchofjesuschrist.org/study/scriptures/ot/isa/14?lang=eng" TargetMode="External"/><Relationship Id="rId52" Type="http://schemas.openxmlformats.org/officeDocument/2006/relationships/hyperlink" Target="https://scripturecentral.org/knowhy/what-can-stylometry-tell-us-about-book-of-mormon-authorship" TargetMode="External"/><Relationship Id="rId73" Type="http://schemas.openxmlformats.org/officeDocument/2006/relationships/hyperlink" Target="https://yalebooks.yale.edu/book/9780300140545/isaiah-40-55/" TargetMode="External"/><Relationship Id="rId78" Type="http://schemas.openxmlformats.org/officeDocument/2006/relationships/hyperlink" Target="https://www.churchofjesuschrist.org/study/scriptures/bofm/1-ne/16?lang=eng" TargetMode="External"/><Relationship Id="rId94" Type="http://schemas.openxmlformats.org/officeDocument/2006/relationships/hyperlink" Target="https://www.dialoguejournal.com/articles/the-spalding-theory-then-and-now/" TargetMode="External"/><Relationship Id="rId99" Type="http://schemas.openxmlformats.org/officeDocument/2006/relationships/hyperlink" Target="https://www.churchofjesuschrist.org/study/scriptures/bofm/introduction?lang=eng" TargetMode="External"/><Relationship Id="rId101" Type="http://schemas.openxmlformats.org/officeDocument/2006/relationships/hyperlink" Target="https://www.churchofjesuschrist.org/study/scriptures/bofm/mosiah/21?lang=eng" TargetMode="External"/><Relationship Id="rId122" Type="http://schemas.openxmlformats.org/officeDocument/2006/relationships/hyperlink" Target="https://doctrineandcovenantscentral.org/history/martin-harris-1859-interview-with-joel-tiffany-on-early-events-in-mormonism/" TargetMode="External"/><Relationship Id="rId143" Type="http://schemas.openxmlformats.org/officeDocument/2006/relationships/hyperlink" Target="https://www.churchofjesuschrist.org/study/history/topics/witnesses-of-the-book-of-mormon?lang=eng" TargetMode="External"/><Relationship Id="rId148" Type="http://schemas.openxmlformats.org/officeDocument/2006/relationships/hyperlink" Target="https://doctrineandcovenantscentral.org/history/martin-harris-1859-interview-with-joel-tiffany-on-early-events-in-mormonism/" TargetMode="External"/><Relationship Id="rId164" Type="http://schemas.openxmlformats.org/officeDocument/2006/relationships/hyperlink" Target="https://rsc.byu.edu/joseph-smiths-uncanonized-revelations/revelation-secure-copyright-book-mormon" TargetMode="External"/><Relationship Id="rId169" Type="http://schemas.openxmlformats.org/officeDocument/2006/relationships/hyperlink" Target="https://en.wikipedia.org/wiki/Ordinance_of_Nullification" TargetMode="External"/><Relationship Id="rId185" Type="http://schemas.openxmlformats.org/officeDocument/2006/relationships/hyperlink" Target="https://www.churchofjesuschrist.org/study/scriptures/nt/rom/7?lang=eng" TargetMode="External"/><Relationship Id="rId4" Type="http://schemas.openxmlformats.org/officeDocument/2006/relationships/webSettings" Target="webSettings.xml"/><Relationship Id="rId9" Type="http://schemas.openxmlformats.org/officeDocument/2006/relationships/hyperlink" Target="https://www.churchofjesuschrist.org/study/manual/gospel-topics-essays/translation-and-historicity-of-the-book-of-abraham?lang=eng" TargetMode="External"/><Relationship Id="rId180" Type="http://schemas.openxmlformats.org/officeDocument/2006/relationships/hyperlink" Target="https://www.churchofjesuschrist.org/study/scriptures/nt/rom/7?lang=eng" TargetMode="External"/><Relationship Id="rId210" Type="http://schemas.openxmlformats.org/officeDocument/2006/relationships/hyperlink" Target="https://newsroom.churchofjesuschrist.org/article/first-presidency-statement-new-policy-changes" TargetMode="External"/><Relationship Id="rId215" Type="http://schemas.openxmlformats.org/officeDocument/2006/relationships/hyperlink" Target="https://www.churchofjesuschrist.org/study/scriptures/ot/num/21?lang=eng" TargetMode="External"/><Relationship Id="rId236" Type="http://schemas.openxmlformats.org/officeDocument/2006/relationships/hyperlink" Target="https://newsroom.churchofjesuschrist.org/article/church-issues-statement-on-sec-settlement" TargetMode="External"/><Relationship Id="rId26" Type="http://schemas.openxmlformats.org/officeDocument/2006/relationships/hyperlink" Target="https://www.eerdmans.com/9780802871084/baptism-in-the-early-church/" TargetMode="External"/><Relationship Id="rId231" Type="http://schemas.openxmlformats.org/officeDocument/2006/relationships/hyperlink" Target="https://www.churchofjesuschrist.org/study/manual/foundations-of-the-restoration-teacher-manual/lesson-23-succession-in-the-presidency?lang=eng" TargetMode="External"/><Relationship Id="rId47" Type="http://schemas.openxmlformats.org/officeDocument/2006/relationships/hyperlink" Target="https://www.churchofjesuschrist.org/study/scriptures/ot/lev/24?lang=eng" TargetMode="External"/><Relationship Id="rId68" Type="http://schemas.openxmlformats.org/officeDocument/2006/relationships/hyperlink" Target="https://www.churchofjesuschrist.org/study/scriptures/bofm/mosiah/14?lang=eng" TargetMode="External"/><Relationship Id="rId89" Type="http://schemas.openxmlformats.org/officeDocument/2006/relationships/hyperlink" Target="https://ldstruthclaims.com/four-studies" TargetMode="External"/><Relationship Id="rId112" Type="http://schemas.openxmlformats.org/officeDocument/2006/relationships/hyperlink" Target="https://www.churchofjesuschrist.org/study/manual/gospel-topics-essays/book-of-mormon-translation?lang=eng" TargetMode="External"/><Relationship Id="rId133" Type="http://schemas.openxmlformats.org/officeDocument/2006/relationships/hyperlink" Target="https://www.churchofjesuschrist.org/study/scriptures/dc-testament/dc/132?lang=eng" TargetMode="External"/><Relationship Id="rId154" Type="http://schemas.openxmlformats.org/officeDocument/2006/relationships/hyperlink" Target="https://www.churchofjesuschrist.org/study/scriptures/dc-testament/dc/132?lang=eng" TargetMode="External"/><Relationship Id="rId175" Type="http://schemas.openxmlformats.org/officeDocument/2006/relationships/hyperlink" Target="https://www.churchofjesuschrist.org/study/scriptures/nt/luke/20?lang=eng" TargetMode="External"/><Relationship Id="rId196" Type="http://schemas.openxmlformats.org/officeDocument/2006/relationships/hyperlink" Target="https://www.churchofjesuschrist.org/study/manual/gospel-topics-essays/peace-and-violence-among-19th-century-latter-day-saints?lang=eng" TargetMode="External"/><Relationship Id="rId200" Type="http://schemas.openxmlformats.org/officeDocument/2006/relationships/hyperlink" Target="https://www.churchofjesuschrist.org/study/scriptures/ot/1-kgs/6?lang=eng" TargetMode="External"/><Relationship Id="rId16" Type="http://schemas.openxmlformats.org/officeDocument/2006/relationships/hyperlink" Target="https://www.churchofjesuschrist.org/study/scriptures/bofm/mosiah/3?lang=eng" TargetMode="External"/><Relationship Id="rId221" Type="http://schemas.openxmlformats.org/officeDocument/2006/relationships/hyperlink" Target="https://www.churchofjesuschrist.org/study/scriptures/nt/matt/22?lang=eng" TargetMode="External"/><Relationship Id="rId242" Type="http://schemas.openxmlformats.org/officeDocument/2006/relationships/hyperlink" Target="https://byustudies.byu.edu/online-book/opening-the-heavens/analysis-of-joseph-smiths-accounts-of-his-first-vision" TargetMode="External"/><Relationship Id="rId37" Type="http://schemas.openxmlformats.org/officeDocument/2006/relationships/hyperlink" Target="https://www.churchofjesuschrist.org/study/scriptures/ot/isa/48?lang=eng" TargetMode="External"/><Relationship Id="rId58" Type="http://schemas.openxmlformats.org/officeDocument/2006/relationships/hyperlink" Target="https://ldstruthclaims.com/stylometric-study" TargetMode="External"/><Relationship Id="rId79" Type="http://schemas.openxmlformats.org/officeDocument/2006/relationships/hyperlink" Target="https://www.patheos.com/blogs/anxiousbench/2015/06/the-nahom-follies/" TargetMode="External"/><Relationship Id="rId102" Type="http://schemas.openxmlformats.org/officeDocument/2006/relationships/hyperlink" Target="https://www.churchofjesuschrist.org/study/scriptures/bofm/1-ne/11?lang=eng" TargetMode="External"/><Relationship Id="rId123" Type="http://schemas.openxmlformats.org/officeDocument/2006/relationships/hyperlink" Target="https://en.wikipedia.org/wiki/Metallurgy_in_pre-Columbian_Mesoamerica" TargetMode="External"/><Relationship Id="rId144" Type="http://schemas.openxmlformats.org/officeDocument/2006/relationships/hyperlink" Target="https://www.churchofjesuschrist.org/study/manual/revelations-in-context/the-experience-of-the-three-witnesses?lang=eng" TargetMode="External"/><Relationship Id="rId90" Type="http://schemas.openxmlformats.org/officeDocument/2006/relationships/hyperlink" Target="https://byustudies.byu.edu/article/oliver-cowderys-vermont-years-and-the-origins-of-mormonism" TargetMode="External"/><Relationship Id="rId165" Type="http://schemas.openxmlformats.org/officeDocument/2006/relationships/hyperlink" Target="https://www.churchofjesuschrist.org/study/scriptures/dc-testament/dc/114?lang=eng" TargetMode="External"/><Relationship Id="rId186" Type="http://schemas.openxmlformats.org/officeDocument/2006/relationships/hyperlink" Target="https://www.churchofjesuschrist.org/study/history/topics/masonry?lang=eng" TargetMode="External"/><Relationship Id="rId211" Type="http://schemas.openxmlformats.org/officeDocument/2006/relationships/hyperlink" Target="https://www.churchhistorianspress.org/the-first-fifty-years-of-relief-society/part-1/1-2/1-2-7" TargetMode="External"/><Relationship Id="rId232" Type="http://schemas.openxmlformats.org/officeDocument/2006/relationships/hyperlink" Target="https://www.churchofjesuschrist.org/study/manual/church-history-in-the-fulness-of-times/chapter-twenty-three?lang=eng" TargetMode="External"/><Relationship Id="rId27" Type="http://schemas.openxmlformats.org/officeDocument/2006/relationships/hyperlink" Target="https://www.churchofjesuschrist.org/study/scriptures/bofm/2-ne/25?lang=eng" TargetMode="External"/><Relationship Id="rId48" Type="http://schemas.openxmlformats.org/officeDocument/2006/relationships/hyperlink" Target="https://www.churchofjesuschrist.org/study/scriptures/nt/matt/23?lang=eng" TargetMode="External"/><Relationship Id="rId69" Type="http://schemas.openxmlformats.org/officeDocument/2006/relationships/hyperlink" Target="https://www.churchofjesuschrist.org/study/scriptures/ot/isa/45?lang=eng" TargetMode="External"/><Relationship Id="rId113" Type="http://schemas.openxmlformats.org/officeDocument/2006/relationships/hyperlink" Target="https://www.churchofjesuschrist.org/study/history/topics/joseph-smiths-1826-trial?lang=eng" TargetMode="External"/><Relationship Id="rId134" Type="http://schemas.openxmlformats.org/officeDocument/2006/relationships/hyperlink" Target="https://www.churchofjesuschrist.org/study/scriptures/dc-testament/dc/42?lang=eng" TargetMode="External"/><Relationship Id="rId80" Type="http://schemas.openxmlformats.org/officeDocument/2006/relationships/hyperlink" Target="https://www.churchofjesuschrist.org/study/scriptures/bofm/morm/6?lang=eng" TargetMode="External"/><Relationship Id="rId155" Type="http://schemas.openxmlformats.org/officeDocument/2006/relationships/hyperlink" Target="https://www.churchofjesuschrist.org/study/scriptures/dc-testament/dc/132?lang=eng" TargetMode="External"/><Relationship Id="rId176" Type="http://schemas.openxmlformats.org/officeDocument/2006/relationships/hyperlink" Target="https://www.churchofjesuschrist.org/study/scriptures/nt/rom/7?lang=eng" TargetMode="External"/><Relationship Id="rId197" Type="http://schemas.openxmlformats.org/officeDocument/2006/relationships/hyperlink" Target="https://en.wikisource.org/wiki/Journal_of_Discourses/Volume_4" TargetMode="External"/><Relationship Id="rId201" Type="http://schemas.openxmlformats.org/officeDocument/2006/relationships/hyperlink" Target="https://www.churchofjesuschrist.org/study/manual/gospel-topics/temples?lang=eng" TargetMode="External"/><Relationship Id="rId222" Type="http://schemas.openxmlformats.org/officeDocument/2006/relationships/hyperlink" Target="https://www.churchofjesuschrist.org/study/scriptures/nt/matt/22?lang=eng" TargetMode="External"/><Relationship Id="rId243" Type="http://schemas.openxmlformats.org/officeDocument/2006/relationships/hyperlink" Target="https://byustudies.byu.edu/online-book/opening-the-heavens/analysis-of-joseph-smiths-accounts-of-his-first-vis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22177</Words>
  <Characters>126415</Characters>
  <Application>Microsoft Office Word</Application>
  <DocSecurity>0</DocSecurity>
  <Lines>1053</Lines>
  <Paragraphs>296</Paragraphs>
  <ScaleCrop>false</ScaleCrop>
  <Company/>
  <LinksUpToDate>false</LinksUpToDate>
  <CharactersWithSpaces>148296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Derek Geslison</cp:lastModifiedBy>
  <cp:revision>3</cp:revision>
  <dcterms:created xsi:type="dcterms:W3CDTF">2026-07-09T21:36:00Z</dcterms:created>
  <dcterms:modified xsi:type="dcterms:W3CDTF">2026-07-09T21:42:00Z</dcterms:modified>
</cp:coreProperties>
</file>